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962" w:rsidRPr="00F50962" w:rsidRDefault="00B917B9" w:rsidP="00B917B9">
      <w:pPr>
        <w:rPr>
          <w:rFonts w:ascii="Cambria" w:eastAsia="Times New Roman" w:hAnsi="Cambria" w:cs="Arial"/>
          <w:b/>
          <w:bCs/>
          <w:color w:val="2F2F2F"/>
          <w:sz w:val="22"/>
          <w:szCs w:val="22"/>
          <w:shd w:val="clear" w:color="auto" w:fill="FFFFFF"/>
          <w:lang w:eastAsia="es-ES_tradnl"/>
        </w:rPr>
      </w:pPr>
      <w:bookmarkStart w:id="0" w:name="_GoBack"/>
      <w:bookmarkEnd w:id="0"/>
      <w:r w:rsidRPr="00F50962">
        <w:rPr>
          <w:rFonts w:ascii="Cambria" w:eastAsia="Times New Roman" w:hAnsi="Cambria" w:cs="Arial"/>
          <w:b/>
          <w:bCs/>
          <w:color w:val="2F2F2F"/>
          <w:sz w:val="22"/>
          <w:szCs w:val="22"/>
          <w:shd w:val="clear" w:color="auto" w:fill="FFFFFF"/>
          <w:lang w:eastAsia="es-ES_tradnl"/>
        </w:rPr>
        <w:t xml:space="preserve">Anexo </w:t>
      </w:r>
      <w:r w:rsidR="00844ED0">
        <w:rPr>
          <w:rFonts w:ascii="Cambria" w:eastAsia="Times New Roman" w:hAnsi="Cambria" w:cs="Arial"/>
          <w:b/>
          <w:bCs/>
          <w:color w:val="2F2F2F"/>
          <w:sz w:val="22"/>
          <w:szCs w:val="22"/>
          <w:shd w:val="clear" w:color="auto" w:fill="FFFFFF"/>
          <w:lang w:eastAsia="es-ES_tradnl"/>
        </w:rPr>
        <w:t>16</w:t>
      </w:r>
      <w:r w:rsidR="00F50962" w:rsidRPr="00F50962">
        <w:rPr>
          <w:rFonts w:ascii="Cambria" w:eastAsia="Times New Roman" w:hAnsi="Cambria" w:cs="Arial"/>
          <w:b/>
          <w:bCs/>
          <w:color w:val="2F2F2F"/>
          <w:sz w:val="22"/>
          <w:szCs w:val="22"/>
          <w:shd w:val="clear" w:color="auto" w:fill="FFFFFF"/>
          <w:lang w:eastAsia="es-ES_tradnl"/>
        </w:rPr>
        <w:t xml:space="preserve">. </w:t>
      </w:r>
      <w:r w:rsidR="00844ED0" w:rsidRPr="00844ED0">
        <w:rPr>
          <w:rFonts w:ascii="Cambria" w:eastAsia="Times New Roman" w:hAnsi="Cambria" w:cs="Arial"/>
          <w:b/>
          <w:bCs/>
          <w:color w:val="2F2F2F"/>
          <w:sz w:val="22"/>
          <w:szCs w:val="22"/>
          <w:shd w:val="clear" w:color="auto" w:fill="FFFFFF"/>
          <w:lang w:eastAsia="es-ES_tradnl"/>
        </w:rPr>
        <w:t>Criterios de elegibilidad para la selección de los beneficiarios y los subproyectos del Esquema 3</w:t>
      </w:r>
    </w:p>
    <w:p w:rsidR="00B917B9" w:rsidRPr="00F50962" w:rsidRDefault="00B917B9" w:rsidP="00B917B9">
      <w:pPr>
        <w:rPr>
          <w:rFonts w:ascii="Cambria" w:eastAsia="Times New Roman" w:hAnsi="Cambria" w:cs="Arial"/>
          <w:b/>
          <w:bCs/>
          <w:color w:val="2F2F2F"/>
          <w:sz w:val="22"/>
          <w:szCs w:val="22"/>
          <w:shd w:val="clear" w:color="auto" w:fill="FFFFFF"/>
          <w:lang w:eastAsia="es-ES_tradnl"/>
        </w:rPr>
      </w:pPr>
    </w:p>
    <w:p w:rsidR="00B917B9" w:rsidRPr="00F50962" w:rsidRDefault="00B917B9" w:rsidP="00B917B9">
      <w:pPr>
        <w:shd w:val="clear" w:color="auto" w:fill="FFFFFF"/>
        <w:jc w:val="both"/>
        <w:rPr>
          <w:rFonts w:ascii="Cambria" w:eastAsia="Times New Roman" w:hAnsi="Cambria" w:cs="Arial"/>
          <w:b/>
          <w:bCs/>
          <w:color w:val="2F2F2F"/>
          <w:sz w:val="22"/>
          <w:szCs w:val="22"/>
          <w:lang w:eastAsia="es-ES_tradnl"/>
        </w:rPr>
      </w:pPr>
      <w:r w:rsidRPr="00B917B9">
        <w:rPr>
          <w:rFonts w:ascii="Cambria" w:eastAsia="Times New Roman" w:hAnsi="Cambria" w:cs="Arial"/>
          <w:b/>
          <w:bCs/>
          <w:color w:val="2F2F2F"/>
          <w:sz w:val="22"/>
          <w:szCs w:val="22"/>
          <w:lang w:eastAsia="es-ES_tradnl"/>
        </w:rPr>
        <w:t xml:space="preserve">Concepto SA.2. </w:t>
      </w:r>
      <w:r w:rsidRPr="00B917B9">
        <w:rPr>
          <w:rFonts w:ascii="Cambria" w:eastAsia="Times New Roman" w:hAnsi="Cambria" w:cs="Arial"/>
          <w:b/>
          <w:bCs/>
          <w:color w:val="2F2F2F"/>
          <w:sz w:val="22"/>
          <w:szCs w:val="22"/>
          <w:shd w:val="clear" w:color="auto" w:fill="FFFFFF"/>
          <w:lang w:eastAsia="es-ES_tradnl"/>
        </w:rPr>
        <w:t>Mecanismos Locales de Pago por Servicios Ambientales a través de Fondos </w:t>
      </w:r>
      <w:proofErr w:type="gramStart"/>
      <w:r w:rsidRPr="00B917B9">
        <w:rPr>
          <w:rFonts w:ascii="Cambria" w:eastAsia="Times New Roman" w:hAnsi="Cambria" w:cs="Arial"/>
          <w:b/>
          <w:bCs/>
          <w:color w:val="2F2F2F"/>
          <w:sz w:val="22"/>
          <w:szCs w:val="22"/>
          <w:shd w:val="clear" w:color="auto" w:fill="FFFFFF"/>
          <w:lang w:eastAsia="es-ES_tradnl"/>
        </w:rPr>
        <w:t>Concurrentes</w:t>
      </w:r>
      <w:r w:rsidRPr="00F50962">
        <w:rPr>
          <w:rFonts w:ascii="Cambria" w:eastAsia="Times New Roman" w:hAnsi="Cambria" w:cs="Arial"/>
          <w:b/>
          <w:bCs/>
          <w:color w:val="2F2F2F"/>
          <w:sz w:val="22"/>
          <w:szCs w:val="22"/>
          <w:lang w:eastAsia="es-ES_tradnl"/>
        </w:rPr>
        <w:t xml:space="preserve">  (</w:t>
      </w:r>
      <w:proofErr w:type="gramEnd"/>
      <w:r w:rsidRPr="00B917B9">
        <w:rPr>
          <w:rFonts w:ascii="Cambria" w:eastAsia="Times New Roman" w:hAnsi="Cambria" w:cs="Arial"/>
          <w:b/>
          <w:bCs/>
          <w:color w:val="2F2F2F"/>
          <w:sz w:val="22"/>
          <w:szCs w:val="22"/>
          <w:lang w:eastAsia="es-ES_tradnl"/>
        </w:rPr>
        <w:t>MLPSA-FC</w:t>
      </w:r>
      <w:r w:rsidRPr="00F50962">
        <w:rPr>
          <w:rFonts w:ascii="Cambria" w:eastAsia="Times New Roman" w:hAnsi="Cambria" w:cs="Arial"/>
          <w:b/>
          <w:bCs/>
          <w:color w:val="2F2F2F"/>
          <w:sz w:val="22"/>
          <w:szCs w:val="22"/>
          <w:lang w:eastAsia="es-ES_tradnl"/>
        </w:rPr>
        <w:t>)</w:t>
      </w:r>
      <w:r w:rsidRPr="00B917B9">
        <w:rPr>
          <w:rFonts w:ascii="Cambria" w:eastAsia="Times New Roman" w:hAnsi="Cambria" w:cs="Arial"/>
          <w:b/>
          <w:bCs/>
          <w:color w:val="2F2F2F"/>
          <w:sz w:val="22"/>
          <w:szCs w:val="22"/>
          <w:lang w:eastAsia="es-ES_tradnl"/>
        </w:rPr>
        <w:t>.</w:t>
      </w:r>
      <w:r w:rsidR="00F50962" w:rsidRPr="00F50962">
        <w:rPr>
          <w:rFonts w:ascii="Cambria" w:eastAsia="Times New Roman" w:hAnsi="Cambria" w:cs="Arial"/>
          <w:b/>
          <w:bCs/>
          <w:color w:val="2F2F2F"/>
          <w:sz w:val="22"/>
          <w:szCs w:val="22"/>
          <w:lang w:eastAsia="es-ES_tradnl"/>
        </w:rPr>
        <w:t xml:space="preserve"> (resumen, para criterios completos visitar </w:t>
      </w:r>
      <w:hyperlink r:id="rId5" w:anchor="gsc.tab=0" w:history="1">
        <w:r w:rsidR="00F50962" w:rsidRPr="00F50962">
          <w:rPr>
            <w:rStyle w:val="Hipervnculo"/>
            <w:rFonts w:ascii="Cambria" w:eastAsia="Times New Roman" w:hAnsi="Cambria" w:cs="Arial"/>
            <w:bCs/>
            <w:sz w:val="22"/>
            <w:szCs w:val="22"/>
            <w:shd w:val="clear" w:color="auto" w:fill="FFFFFF"/>
            <w:lang w:eastAsia="es-ES_tradnl"/>
          </w:rPr>
          <w:t>Diario Oficial de la Federación</w:t>
        </w:r>
      </w:hyperlink>
      <w:r w:rsidR="00F50962" w:rsidRPr="00F50962">
        <w:rPr>
          <w:rFonts w:ascii="Cambria" w:eastAsia="Times New Roman" w:hAnsi="Cambria" w:cs="Arial"/>
          <w:bCs/>
          <w:color w:val="2F2F2F"/>
          <w:sz w:val="22"/>
          <w:szCs w:val="22"/>
          <w:shd w:val="clear" w:color="auto" w:fill="FFFFFF"/>
          <w:lang w:eastAsia="es-ES_tradnl"/>
        </w:rPr>
        <w:t>.)</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Tiene por objetivo establecer pagos por servicios ambientales promoviendo la conjunción de recursos financieros y operativos de la CONAFOR y de las partes interesadas en aportar recursos económicos para incentivar la creación y fortalecimiento de Mecanismos Locales, propiciando la participación de instituciones de los tres órdenes de gobierno, organizaciones del sector privado o la sociedad civil. Dichos Mecanismos Locales complementan los esquemas de pago por servicios ambientales de la CONAFOR, diversificando las fuentes de financiamiento y participación privada en la conservación de los ecosistemas forestales.</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ind w:firstLine="288"/>
        <w:jc w:val="both"/>
        <w:rPr>
          <w:rFonts w:ascii="Cambria" w:eastAsia="Times New Roman" w:hAnsi="Cambria" w:cs="Arial"/>
          <w:b/>
          <w:bCs/>
          <w:color w:val="2F2F2F"/>
          <w:sz w:val="22"/>
          <w:szCs w:val="22"/>
          <w:lang w:eastAsia="es-ES_tradnl"/>
        </w:rPr>
      </w:pPr>
      <w:r w:rsidRPr="00B917B9">
        <w:rPr>
          <w:rFonts w:ascii="Cambria" w:eastAsia="Times New Roman" w:hAnsi="Cambria" w:cs="Arial"/>
          <w:b/>
          <w:bCs/>
          <w:color w:val="2F2F2F"/>
          <w:sz w:val="22"/>
          <w:szCs w:val="22"/>
          <w:lang w:eastAsia="es-ES_tradnl"/>
        </w:rPr>
        <w:t>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Personas elegibles</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Concepto SA.2. MLPSA-FC.</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personas físicas o morales usuarias de servicios ambientales que estén interesadas en participar en el pago por servicios ambientales a través de la creación o fortalecimiento de Mecanismos Locales, mediante la aportación de recursos económicos y operativos para beneficiar a las personas propietarias o poseedoras de terrenos forestales y preferentemente forestales proveedoras de servicios ambientales, que conserven su ecosistema forestal.</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Criterios para SA.2 MLPSA-FC.</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Criterios específicos de selección.</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partes interesadas deberán presentar una carta de intención que cumpla todos los requisitos indicados en el Formato Técnico Complementario del concepto SA.2 MLPSA-FC. La parte interesada será responsable de integrar la documentación relativa a cada una de las personas proveedoras de servicios ambientales.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aportaciones que realice la CONAFOR para integrar el fondo concurrente no podrán superar 50% del monto total convenido.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 CONAFOR y las partes interesadas podrán firmar convenios de colaboración por un periodo de 2 hasta 5 años.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partes interesadas y las personas proveedoras de servicios ambientales que propongan deberán realizar una entrevista conjunta con la Promotoría de Desarrollo Forestal de la CONAFOR que corresponda y Oficinas Centrales, en la que se profundizará la propuesta de la carta de intención. Dicha entrevista podrá realizarse presencialmente, a través de videoconferencia o cualquier otro medio de comunicación.</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ind w:firstLine="288"/>
        <w:jc w:val="both"/>
        <w:rPr>
          <w:rFonts w:ascii="Cambria" w:eastAsia="Times New Roman" w:hAnsi="Cambria" w:cs="Arial"/>
          <w:b/>
          <w:bCs/>
          <w:color w:val="2F2F2F"/>
          <w:sz w:val="22"/>
          <w:szCs w:val="22"/>
          <w:lang w:eastAsia="es-ES_tradnl"/>
        </w:rPr>
      </w:pPr>
      <w:r w:rsidRPr="00B917B9">
        <w:rPr>
          <w:rFonts w:ascii="Cambria" w:eastAsia="Times New Roman" w:hAnsi="Cambria" w:cs="Arial"/>
          <w:b/>
          <w:bCs/>
          <w:color w:val="2F2F2F"/>
          <w:sz w:val="22"/>
          <w:szCs w:val="22"/>
          <w:lang w:eastAsia="es-ES_tradnl"/>
        </w:rPr>
        <w:t>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Áreas de interés.</w:t>
      </w:r>
    </w:p>
    <w:p w:rsidR="00F50962" w:rsidRPr="00B917B9" w:rsidRDefault="00F50962" w:rsidP="00B917B9">
      <w:pPr>
        <w:shd w:val="clear" w:color="auto" w:fill="FFFFFF"/>
        <w:ind w:firstLine="288"/>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 xml:space="preserve">Las áreas de interés que se propongan para recibir el apoyo de este concepto, deberán ser terrenos forestales en buen estado de conservación y se podrán incluir terrenos preferentemente forestales, siendo aconsejable que las cartas de intención incluyan diversificación productiva basada en ecosistemas, bajo una visión de manejo integrado de cuenca y focalizado a microcuencas, corredores biológicos o áreas importantes de acuerdo a un </w:t>
      </w:r>
      <w:r w:rsidRPr="00F50962">
        <w:rPr>
          <w:rFonts w:ascii="Cambria" w:eastAsia="Times New Roman" w:hAnsi="Cambria" w:cs="Arial"/>
          <w:color w:val="2F2F2F"/>
          <w:sz w:val="22"/>
          <w:szCs w:val="22"/>
          <w:lang w:eastAsia="es-ES_tradnl"/>
        </w:rPr>
        <w:lastRenderedPageBreak/>
        <w:t>enfoque basado en la conservación de los servicios ambientales que benefician a usuarios identificados para el desarrollo local o regional, así como considerando la perspectiva de La Economía de los Ecosistemas y la Biodiversidad (TEEB por sus siglas en inglés), la cual puede ser consultada en el link </w:t>
      </w:r>
      <w:hyperlink r:id="rId6" w:history="1">
        <w:r w:rsidRPr="00F50962">
          <w:rPr>
            <w:rStyle w:val="Hipervnculo"/>
            <w:rFonts w:ascii="Cambria" w:eastAsia="Times New Roman" w:hAnsi="Cambria" w:cs="Arial"/>
            <w:sz w:val="22"/>
            <w:szCs w:val="22"/>
            <w:lang w:eastAsia="es-ES_tradnl"/>
          </w:rPr>
          <w:t>http://www.teebweb.org/media/2010/09/TEEB-D2-Local-and-Regional-Quick-guide_Spanish.pdf</w:t>
        </w:r>
      </w:hyperlink>
      <w:r w:rsidRPr="00F50962">
        <w:rPr>
          <w:rFonts w:ascii="Cambria" w:eastAsia="Times New Roman" w:hAnsi="Cambria" w:cs="Arial"/>
          <w:color w:val="2F2F2F"/>
          <w:sz w:val="22"/>
          <w:szCs w:val="22"/>
          <w:lang w:eastAsia="es-ES_tradnl"/>
        </w:rPr>
        <w:t>.</w:t>
      </w: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Los terrenos preferentemente forestales que se propongan dentro de las áreas de interés deberán implementar acciones de restauración forestal durante la vigencia del proyecto, las acciones se establecerán en el Programa de Mejores Prácticas de Manejo (PMPM) por lo que se requerirá que estas áreas se identifiquen y delimiten geográficamente (archivo </w:t>
      </w:r>
      <w:r w:rsidRPr="00F50962">
        <w:rPr>
          <w:rFonts w:ascii="Cambria" w:eastAsia="Times New Roman" w:hAnsi="Cambria" w:cs="Arial"/>
          <w:i/>
          <w:iCs/>
          <w:color w:val="2F2F2F"/>
          <w:sz w:val="22"/>
          <w:szCs w:val="22"/>
          <w:lang w:eastAsia="es-ES_tradnl"/>
        </w:rPr>
        <w:t>shapefile</w:t>
      </w:r>
      <w:r w:rsidRPr="00F50962">
        <w:rPr>
          <w:rFonts w:ascii="Cambria" w:eastAsia="Times New Roman" w:hAnsi="Cambria" w:cs="Arial"/>
          <w:color w:val="2F2F2F"/>
          <w:sz w:val="22"/>
          <w:szCs w:val="22"/>
          <w:lang w:eastAsia="es-ES_tradnl"/>
        </w:rPr>
        <w:t>).</w:t>
      </w:r>
    </w:p>
    <w:p w:rsidR="00B917B9" w:rsidRPr="00F50962" w:rsidRDefault="00B917B9" w:rsidP="00B917B9">
      <w:pPr>
        <w:pStyle w:val="Prrafodelista"/>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 superficie mínima de las áreas de interés que proponga la parte interesada por carta de intención deberá ser de 500 hectáreas. Para partes interesadas con convenio vigente o concluido en tiempo y forma, la superficie mínima por carta de intención y por proveedor de servicios ambientales, podrá ser menor a lo establecido en el presente párrafo o en el apartado </w:t>
      </w:r>
      <w:r w:rsidRPr="00F50962">
        <w:rPr>
          <w:rFonts w:ascii="Cambria" w:eastAsia="Times New Roman" w:hAnsi="Cambria" w:cs="Arial"/>
          <w:bCs/>
          <w:color w:val="2F2F2F"/>
          <w:sz w:val="22"/>
          <w:szCs w:val="22"/>
          <w:lang w:eastAsia="es-ES_tradnl"/>
        </w:rPr>
        <w:t>xii. Montos de pago</w:t>
      </w:r>
      <w:r w:rsidRPr="00F50962">
        <w:rPr>
          <w:rFonts w:ascii="Cambria" w:eastAsia="Times New Roman" w:hAnsi="Cambria" w:cs="Arial"/>
          <w:color w:val="2F2F2F"/>
          <w:sz w:val="22"/>
          <w:szCs w:val="22"/>
          <w:lang w:eastAsia="es-ES_tradnl"/>
        </w:rPr>
        <w:t>, siempre y cuando el área que propongan complemente el mecanismo local vigente o de continuidad al convenio concluido.</w:t>
      </w: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d)</w:t>
      </w:r>
      <w:r w:rsidRPr="00B917B9">
        <w:rPr>
          <w:rFonts w:ascii="Cambria" w:eastAsia="Times New Roman" w:hAnsi="Cambria" w:cs="Arial"/>
          <w:color w:val="2F2F2F"/>
          <w:sz w:val="22"/>
          <w:szCs w:val="22"/>
          <w:lang w:eastAsia="es-ES_tradnl"/>
        </w:rPr>
        <w:t>    La carta de intención deberá incluir los archivos digitales de ubicación geográfica (</w:t>
      </w:r>
      <w:r w:rsidRPr="00B917B9">
        <w:rPr>
          <w:rFonts w:ascii="Cambria" w:eastAsia="Times New Roman" w:hAnsi="Cambria" w:cs="Arial"/>
          <w:i/>
          <w:iCs/>
          <w:color w:val="2F2F2F"/>
          <w:sz w:val="22"/>
          <w:szCs w:val="22"/>
          <w:lang w:eastAsia="es-ES_tradnl"/>
        </w:rPr>
        <w:t>shapefile</w:t>
      </w:r>
      <w:r w:rsidRPr="00B917B9">
        <w:rPr>
          <w:rFonts w:ascii="Cambria" w:eastAsia="Times New Roman" w:hAnsi="Cambria" w:cs="Arial"/>
          <w:color w:val="2F2F2F"/>
          <w:sz w:val="22"/>
          <w:szCs w:val="22"/>
          <w:lang w:eastAsia="es-ES_tradnl"/>
        </w:rPr>
        <w:t>) de las áreas propuestas conforme a los parámetros especificados en la fracción VII del artículo 18 de estas Reglas.</w:t>
      </w: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w:t>
      </w: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Para predios con programa de manejo forestal maderable vigente, serán elegibles las áreas de corta que durante la vigencia del apoyo no se tenga programada la intervención, exceptuando los predios que cuenten con la certificación de buen manejo forestal nacional o internacional, en los que será elegible toda la superficie que cumpla con los criterios de cobertura y que durante la vigencia del apoyo no tenga programada la aplicación de tratamientos de matarrasa o árboles padres.</w:t>
      </w: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 parte interesada deberá entregar en la carta de intención, copia del oficio de autorización expedido por la SEMARNAT, copia del plano de cortas y el polígono georreferenciado donde señale la ubicación de las áreas de corta y años de intervención, así como de las áreas propuestas para el pago de servicios ambientales y el certificado de buen manejo forestal en los casos respectivos.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Las personas proveedoras interesadas en participar deberán entregar a las partes interesadas para la integración de su expediente la documentación requerida, atendiendo lo señalado en estas Reglas de Operación.</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No se aprobarán solicitudes de personas físicas en posesión de fracciones que pertenecen a un mismo título u otro documento legal de propiedad.</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Tratándose de las tierras de uso común pertenecientes a ejidos o comunidades, únicamente podrán ser sujetos de apoyo los núcleos ejidales o comunales.</w:t>
      </w:r>
    </w:p>
    <w:p w:rsidR="00B917B9" w:rsidRPr="00F50962" w:rsidRDefault="00B917B9" w:rsidP="00B917B9">
      <w:pPr>
        <w:pStyle w:val="Prrafodelista"/>
        <w:rPr>
          <w:rFonts w:ascii="Cambria" w:eastAsia="Times New Roman" w:hAnsi="Cambria" w:cs="Arial"/>
          <w:color w:val="2F2F2F"/>
          <w:sz w:val="22"/>
          <w:szCs w:val="22"/>
          <w:lang w:eastAsia="es-ES_tradnl"/>
        </w:rPr>
      </w:pP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ind w:firstLine="288"/>
        <w:jc w:val="both"/>
        <w:rPr>
          <w:rFonts w:ascii="Cambria" w:eastAsia="Times New Roman" w:hAnsi="Cambria" w:cs="Arial"/>
          <w:b/>
          <w:bCs/>
          <w:color w:val="2F2F2F"/>
          <w:sz w:val="22"/>
          <w:szCs w:val="22"/>
          <w:lang w:eastAsia="es-ES_tradnl"/>
        </w:rPr>
      </w:pPr>
      <w:r w:rsidRPr="00B917B9">
        <w:rPr>
          <w:rFonts w:ascii="Cambria" w:eastAsia="Times New Roman" w:hAnsi="Cambria" w:cs="Arial"/>
          <w:b/>
          <w:bCs/>
          <w:color w:val="2F2F2F"/>
          <w:sz w:val="22"/>
          <w:szCs w:val="22"/>
          <w:lang w:eastAsia="es-ES_tradnl"/>
        </w:rPr>
        <w:t>iii.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Recursos financieros y aportaciones.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b/>
          <w:bCs/>
          <w:color w:val="2F2F2F"/>
          <w:sz w:val="22"/>
          <w:szCs w:val="22"/>
          <w:lang w:eastAsia="es-ES_tradnl"/>
        </w:rPr>
      </w:pPr>
      <w:r w:rsidRPr="00B917B9">
        <w:rPr>
          <w:rFonts w:ascii="Cambria" w:eastAsia="Times New Roman" w:hAnsi="Cambria" w:cs="Arial"/>
          <w:color w:val="2F2F2F"/>
          <w:sz w:val="22"/>
          <w:szCs w:val="22"/>
          <w:lang w:eastAsia="es-ES_tradnl"/>
        </w:rPr>
        <w:lastRenderedPageBreak/>
        <w:t>Para crear o fortalecer los MLPSA-FC se integrarán aportaciones concurrentes de recursos financieros y operativos que realicen la CONAFOR y las partes interesadas solicitantes, pudiendo incorporarse nuevas partes interesadas a suscribir los convenios de cartas de intención presentadas durante la convocatoria, o a convenios suscritos con anterioridad siempre y cuando se tenga consentimiento por escrito de las partes.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aportaciones que realicen la CONAFOR y las partes interesadas se establecerán en un convenio de colaboración que para tal efecto suscriban de acuerdo a estas Reglas.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Los recursos aportados por la CONAFOR se destinarán al PSA o en su caso y de ser propuesto por las partes interesadas al pago de asistencia técnica.</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xml:space="preserve">Las aportaciones de las partes interesadas se destinarán obligatoriamente al PSA y de manera opcional al pago de asistencia técnica previendo </w:t>
      </w:r>
      <w:proofErr w:type="gramStart"/>
      <w:r w:rsidRPr="00B917B9">
        <w:rPr>
          <w:rFonts w:ascii="Cambria" w:eastAsia="Times New Roman" w:hAnsi="Cambria" w:cs="Arial"/>
          <w:color w:val="2F2F2F"/>
          <w:sz w:val="22"/>
          <w:szCs w:val="22"/>
          <w:lang w:eastAsia="es-ES_tradnl"/>
        </w:rPr>
        <w:t>que</w:t>
      </w:r>
      <w:proofErr w:type="gramEnd"/>
      <w:r w:rsidRPr="00B917B9">
        <w:rPr>
          <w:rFonts w:ascii="Cambria" w:eastAsia="Times New Roman" w:hAnsi="Cambria" w:cs="Arial"/>
          <w:color w:val="2F2F2F"/>
          <w:sz w:val="22"/>
          <w:szCs w:val="22"/>
          <w:lang w:eastAsia="es-ES_tradnl"/>
        </w:rPr>
        <w:t xml:space="preserve"> de proponer pago para asistencia técnica, sea de máximo el 15% de su aportación total o se ajuste al tabulador de pago de asistencia técnica para CONAFOR indicado en el apartado xii. Montos de Pago de este mismo Anexo.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partes interesadas podrán realizar la aportación comprometida para promover un Mecanismo Local de PSA, mediante alguna de las siguientes formas:</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2"/>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Mediante depósito en el Fondo Forestal Mexicano (FFM). En el primer año deberán depositar al menos 50% del total de la aportación, excepto aquellas partes interesadas con convenios vigentes o finiquitados en tiempo y forma que han cumplido con los pagos, las cuales podrán optar por realizar aportaciones anuales.</w:t>
      </w: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II.</w:t>
      </w:r>
      <w:r w:rsidRPr="00B917B9">
        <w:rPr>
          <w:rFonts w:ascii="Cambria" w:eastAsia="Times New Roman" w:hAnsi="Cambria" w:cs="Arial"/>
          <w:color w:val="2F2F2F"/>
          <w:sz w:val="22"/>
          <w:szCs w:val="22"/>
          <w:lang w:eastAsia="es-ES_tradnl"/>
        </w:rPr>
        <w:t>     Mediante el pago directo a las personas proveedoras de servicios ambientales. Estos pagos se podrán demostrar con transferencia electrónica, depósito o expedición y depósito de cheque a nombre de los proveedores de servicios ambientales o en caso de propiedades sociales, mediante el reconocimiento del pago a través del acta de asamblea donde se presenten las facturas comprobatorias o se reconozcan las inversiones realizadas por la contraparte. Esta forma de pago sólo se aplicará para convenios de colaboración con duración de dos años.</w:t>
      </w: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III.</w:t>
      </w:r>
      <w:r w:rsidRPr="00B917B9">
        <w:rPr>
          <w:rFonts w:ascii="Cambria" w:eastAsia="Times New Roman" w:hAnsi="Cambria" w:cs="Arial"/>
          <w:color w:val="2F2F2F"/>
          <w:sz w:val="22"/>
          <w:szCs w:val="22"/>
          <w:lang w:eastAsia="es-ES_tradnl"/>
        </w:rPr>
        <w:t>    Mediante pago a las personas proveedoras de servicios ambientales a través de un fideicomiso local. El fideicomiso local deberá recibir previamente la aprobación por parte de la CONAFOR y cumplir con lo establecido en la Ley Federal de Presupuesto y Responsabilidad Hacendaria, su Reglamento y estas Reglas.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Para un mismo convenio de colaboración solo se aceptará una forma de pago para los proveedores que lo integren. En caso de que las partes interesadas deseen cambiar la forma de pago a través del FFM, solo deberán expresarlo mediante oficio dirigido a la Promotoría de Desarrollo Forestal, mismo que será parte integral del Convenio de Colaboración. Los convenios finiquitados en tiempo y forma podrán refrendar la nueva propuesta con las condiciones de pago del convenio previo.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partes interesadas podrán depositar sus aportaciones al FFM de manera anticipada a la convocatoria, con el fin de comprobar su solvencia económica y obtener mayor puntuación en su carta de intención. Dicho recurso solo podrá destinarse a su propuesta en caso de resultar positiva, en caso de no ser aprobada la carta de intención los recursos se reintegrarán al aportante junto con los intereses generados en el periodo que haya estado dentro del FFM.</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lastRenderedPageBreak/>
        <w:t>El primer pago de las partes interesadas deberá realizarse a las personas proveedoras en un plazo máximo de 2 meses contados a partir de la firma del convenio de colaboración.</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aportaciones al FFM por las partes interesadas deberán ser notificadas mediante oficio y correo electrónico dirigidos a la Promotoría de Desarrollo Forestal correspondiente, anexando el comprobante de depósito. Si las partes interesadas requieren la emisión de un recibo fiscal, deberán solicitarlo en el mismo oficio y en el mismo mes de la realización del depósito, de lo contrario no se garantiza la expedición del mismo.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xml:space="preserve">Las partes interesadas que realicen sus aportaciones mediante el FFM podrán realizar varias ministraciones al año hasta completar el monto comprometido las cuales también podrán componerse por aportantes o donadores que la parte interesada invite a participar en este esquema, una vez cubierta la totalidad de la aportación deberán informar a la CONAFOR. </w:t>
      </w:r>
      <w:proofErr w:type="gramStart"/>
      <w:r w:rsidRPr="00B917B9">
        <w:rPr>
          <w:rFonts w:ascii="Cambria" w:eastAsia="Times New Roman" w:hAnsi="Cambria" w:cs="Arial"/>
          <w:color w:val="2F2F2F"/>
          <w:sz w:val="22"/>
          <w:szCs w:val="22"/>
          <w:lang w:eastAsia="es-ES_tradnl"/>
        </w:rPr>
        <w:t>Asimismo</w:t>
      </w:r>
      <w:proofErr w:type="gramEnd"/>
      <w:r w:rsidRPr="00B917B9">
        <w:rPr>
          <w:rFonts w:ascii="Cambria" w:eastAsia="Times New Roman" w:hAnsi="Cambria" w:cs="Arial"/>
          <w:color w:val="2F2F2F"/>
          <w:sz w:val="22"/>
          <w:szCs w:val="22"/>
          <w:lang w:eastAsia="es-ES_tradnl"/>
        </w:rPr>
        <w:t xml:space="preserve"> podrán instruir a la CONAFOR el momento de dispersión de los recursos a cada una de las personas proveedoras de servicios ambientales de acuerdo al cumplimiento de los compromisos de estos.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En los casos de pago directo a las personas proveedoras de servicios ambientales o a través de un fideicomiso, los comprobantes de pago deberán ser enviados de manera electrónica a la Promotoría de Desarrollo Forestal de la CONAFOR correspondiente, con copia a la Gerencia de Servicios Ambientales del Bosque y Conservación de la Biodiversidad en Oficinas Centrales.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aportaciones de la CONAFOR se realizarán anualmente mediante transferencia electrónica a la cuenta que determinen las personas proveedoras de servicios ambientales o al fideicomiso local, según corresponda, cuando hayan cumplido los requisitos y obligaciones, de acuerdo al convenio de concertación y a las presentes Reglas.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Cuando la parte interesada deje de aportar los recursos pactados en los convenios de colaboración y concertación, el Comité tendrá la facultad de aprobar la continuidad del pago de la aportación correspondiente a CONAFOR, con base en el debido cumplimiento de las obligaciones de la persona proveedora. En caso de aprobación, se deberán modificar el convenio de concertación y el proyecto apoyado, de tal manera que las obligaciones de la proveedora sean proporcionales a la aportación de la CONAFOR. La parte interesada que deje de aportar sus recursos no será elegible para próximas colaboraciones con la CONAFOR.</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El pago por concepto de asistencia técnica no debe ser mayor al 20% del pago que recibe el proveedor de servicios ambientales.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Los recursos económicos que aporten las partes interesadas, por ningún motivo deberán provenir de los proveedores de servicios ambientales.</w:t>
      </w:r>
    </w:p>
    <w:p w:rsidR="00F50962" w:rsidRPr="00B917B9" w:rsidRDefault="00F50962"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iv.</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Actividades elegibles para el pago.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xml:space="preserve">Para los efectos del presente concepto, se considerarán elegibles para la asignación de pagos a las personas proveedoras de servicios ambientales, aquellas obras y actividades dirigidas a mejorar o mantener los servicios ambientales en el área de interés, preferentemente con enfoque de manejo integrado del territorio, conforme a los TDR del Programa de Mejores Prácticas de Manejo (PMPM). Se sugiere que el PMPM cuente con una visión de Adaptación basada en Ecosistemas (AbE), pudiendo contener actividades de conservación, protección y </w:t>
      </w:r>
      <w:r w:rsidRPr="00B917B9">
        <w:rPr>
          <w:rFonts w:ascii="Cambria" w:eastAsia="Times New Roman" w:hAnsi="Cambria" w:cs="Arial"/>
          <w:color w:val="2F2F2F"/>
          <w:sz w:val="22"/>
          <w:szCs w:val="22"/>
          <w:lang w:eastAsia="es-ES_tradnl"/>
        </w:rPr>
        <w:lastRenderedPageBreak/>
        <w:t>restauración; así como de manejo forestal sustentable, establecimiento o mejora de industria forestal, proyectos productivos sustentables, etc.</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Es facultad de la CONAFOR determinar si las actividades propuestas por las partes interesadas y las personas proveedoras son elegibles para otorgar pagos bajo este esquema de apoyo.</w:t>
      </w:r>
    </w:p>
    <w:p w:rsidR="00F50962" w:rsidRPr="00B917B9" w:rsidRDefault="00F50962"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v.</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Supervisión.</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 CONAFOR, a través de las Promotorías de Desarrollo Forestal, podrá realizar la supervisión del cumplimiento de las actividades propuestas en el PMPM por parte de los proveedores y que la parte interesada cumpla con los compromisos establecidos respecto al Convenio de Colaboración. Las partes interesadas también podrán realizar supervisiones y se considerarán válidas para comprobar el cumplimiento de los proveedores o complementar las realizadas por CONAFOR.</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 CONAFOR podrá llevar a cabo la supervisión mediante los medios físicos o digitales disponibles o visitas de campo para documentar el cumplimiento de los compromisos para la anualidad que corresponda.</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El Titular de la Promotoría de Desarrollo Forestal, en el momento que así lo requiera, podrá ordenar al personal adscrito a su área que lleve a cabo las supervisiones a las obras, actividades o proyectos apoyados.</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vi.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De los fideicomisos.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xml:space="preserve">Las partes interesadas que soliciten a la CONAFOR que los recursos asignados se dispersen a cada persona proveedora de servicios ambientales a través de un fideicomiso público o privado, deberán demostrar que este instrumento financiero es para fines de cuidado ambiental y que en su contrato, Reglamentos o documentos legales se encuentra incluido de manera expresa el pago o compensación por servicios ambientales en sus objetivos. </w:t>
      </w:r>
      <w:proofErr w:type="gramStart"/>
      <w:r w:rsidRPr="00B917B9">
        <w:rPr>
          <w:rFonts w:ascii="Cambria" w:eastAsia="Times New Roman" w:hAnsi="Cambria" w:cs="Arial"/>
          <w:color w:val="2F2F2F"/>
          <w:sz w:val="22"/>
          <w:szCs w:val="22"/>
          <w:lang w:eastAsia="es-ES_tradnl"/>
        </w:rPr>
        <w:t>Además</w:t>
      </w:r>
      <w:proofErr w:type="gramEnd"/>
      <w:r w:rsidRPr="00B917B9">
        <w:rPr>
          <w:rFonts w:ascii="Cambria" w:eastAsia="Times New Roman" w:hAnsi="Cambria" w:cs="Arial"/>
          <w:color w:val="2F2F2F"/>
          <w:sz w:val="22"/>
          <w:szCs w:val="22"/>
          <w:lang w:eastAsia="es-ES_tradnl"/>
        </w:rPr>
        <w:t xml:space="preserve"> deberá cumplir con lo establecido en la Ley Federal de Presupuesto y Responsabilidad Hacendaria y demás disposiciones legales aplicables, como con lo siguiente:</w:t>
      </w:r>
    </w:p>
    <w:p w:rsidR="00B917B9" w:rsidRPr="00B917B9"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3"/>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Los recursos comprometidos en fondos concurrentes y los rendimientos que generen de la federación deberán aplicarse exclusivamente para los fines convenidos;</w:t>
      </w:r>
    </w:p>
    <w:p w:rsidR="00B917B9" w:rsidRPr="00F50962" w:rsidRDefault="00B917B9" w:rsidP="00B917B9">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3"/>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Los recursos de la CONAFOR se identificarán específicamente en una subcuenta, misma que deberá reportarse en los informes trimestrales, identificando los ingresos, incluyendo rendimientos financieros del periodo, egresos, así como su destino y el saldo;</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F50962" w:rsidRDefault="00B917B9" w:rsidP="00B917B9">
      <w:pPr>
        <w:pStyle w:val="Prrafodelista"/>
        <w:numPr>
          <w:ilvl w:val="0"/>
          <w:numId w:val="3"/>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 suma de los recursos públicos federales otorgados no podrá representar, en ningún momento, más del cincuenta por ciento del saldo en el patrimonio neto de los mismos;</w:t>
      </w:r>
    </w:p>
    <w:p w:rsidR="00B917B9" w:rsidRPr="00F50962" w:rsidRDefault="00B917B9" w:rsidP="00B917B9">
      <w:pPr>
        <w:shd w:val="clear" w:color="auto" w:fill="FFFFFF"/>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d)</w:t>
      </w:r>
      <w:r w:rsidRPr="00B917B9">
        <w:rPr>
          <w:rFonts w:ascii="Cambria" w:eastAsia="Times New Roman" w:hAnsi="Cambria" w:cs="Arial"/>
          <w:color w:val="2F2F2F"/>
          <w:sz w:val="22"/>
          <w:szCs w:val="22"/>
          <w:lang w:eastAsia="es-ES_tradnl"/>
        </w:rPr>
        <w:t>    El fiduciario tiene la obligación de transparentar y rendir cuentas sobre el manejo de los recursos públicos federales que se hubieren aportado al fideicomiso y a proporcionar los informes que permitan su vigilancia y fiscalización, instruyendo a la fiduciaria para que rinda los informes correspondientes que faciliten la fiscalización referida, esta instrucción deberá constar por escrito y habilitar a la CONAFOR y las instancias fiscalizadoras a solicitar la información que requieran y se relacione con lo señalado en este apartado y el siguiente;</w:t>
      </w: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e)</w:t>
      </w:r>
      <w:r w:rsidRPr="00B917B9">
        <w:rPr>
          <w:rFonts w:ascii="Cambria" w:eastAsia="Times New Roman" w:hAnsi="Cambria" w:cs="Arial"/>
          <w:color w:val="2F2F2F"/>
          <w:sz w:val="22"/>
          <w:szCs w:val="22"/>
          <w:lang w:eastAsia="es-ES_tradnl"/>
        </w:rPr>
        <w:t>    Los informes a que hace mención el párrafo anterior incluirán:</w:t>
      </w:r>
    </w:p>
    <w:p w:rsidR="00B917B9" w:rsidRPr="00B917B9" w:rsidRDefault="00B917B9" w:rsidP="00B917B9">
      <w:pPr>
        <w:shd w:val="clear" w:color="auto" w:fill="FFFFFF"/>
        <w:ind w:hanging="360"/>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lastRenderedPageBreak/>
        <w:t>1.</w:t>
      </w:r>
      <w:r w:rsidRPr="00B917B9">
        <w:rPr>
          <w:rFonts w:ascii="Cambria" w:eastAsia="Times New Roman" w:hAnsi="Cambria" w:cs="Arial"/>
          <w:color w:val="2F2F2F"/>
          <w:sz w:val="22"/>
          <w:szCs w:val="22"/>
          <w:lang w:eastAsia="es-ES_tradnl"/>
        </w:rPr>
        <w:t>   Ingresos de recursos públicos otorgados en el periodo, incluyendo rendimientos financieros;</w:t>
      </w:r>
    </w:p>
    <w:p w:rsidR="00B917B9" w:rsidRPr="00B917B9" w:rsidRDefault="00B917B9" w:rsidP="00B917B9">
      <w:pPr>
        <w:shd w:val="clear" w:color="auto" w:fill="FFFFFF"/>
        <w:ind w:hanging="360"/>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2.</w:t>
      </w:r>
      <w:r w:rsidRPr="00B917B9">
        <w:rPr>
          <w:rFonts w:ascii="Cambria" w:eastAsia="Times New Roman" w:hAnsi="Cambria" w:cs="Arial"/>
          <w:color w:val="2F2F2F"/>
          <w:sz w:val="22"/>
          <w:szCs w:val="22"/>
          <w:lang w:eastAsia="es-ES_tradnl"/>
        </w:rPr>
        <w:t>   Egresos realizados en el periodo, así como su destino;</w:t>
      </w:r>
    </w:p>
    <w:p w:rsidR="00B917B9" w:rsidRPr="00F50962" w:rsidRDefault="00B917B9" w:rsidP="00B917B9">
      <w:pPr>
        <w:shd w:val="clear" w:color="auto" w:fill="FFFFFF"/>
        <w:ind w:hanging="360"/>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3.</w:t>
      </w:r>
      <w:r w:rsidRPr="00B917B9">
        <w:rPr>
          <w:rFonts w:ascii="Cambria" w:eastAsia="Times New Roman" w:hAnsi="Cambria" w:cs="Arial"/>
          <w:color w:val="2F2F2F"/>
          <w:sz w:val="22"/>
          <w:szCs w:val="22"/>
          <w:lang w:eastAsia="es-ES_tradnl"/>
        </w:rPr>
        <w:t>   Cualquier otra relacionada con el manejo de los recursos públicos federales.</w:t>
      </w:r>
    </w:p>
    <w:p w:rsidR="00F50962" w:rsidRPr="00B917B9" w:rsidRDefault="00F50962" w:rsidP="00B917B9">
      <w:pPr>
        <w:shd w:val="clear" w:color="auto" w:fill="FFFFFF"/>
        <w:ind w:hanging="360"/>
        <w:jc w:val="both"/>
        <w:rPr>
          <w:rFonts w:ascii="Cambria" w:eastAsia="Times New Roman" w:hAnsi="Cambria" w:cs="Arial"/>
          <w:color w:val="2F2F2F"/>
          <w:sz w:val="22"/>
          <w:szCs w:val="22"/>
          <w:lang w:eastAsia="es-ES_tradnl"/>
        </w:rPr>
      </w:pPr>
    </w:p>
    <w:p w:rsidR="00B917B9" w:rsidRPr="00F50962" w:rsidRDefault="00B917B9" w:rsidP="00F50962">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f)</w:t>
      </w:r>
      <w:r w:rsidRPr="00B917B9">
        <w:rPr>
          <w:rFonts w:ascii="Cambria" w:eastAsia="Times New Roman" w:hAnsi="Cambria" w:cs="Arial"/>
          <w:color w:val="2F2F2F"/>
          <w:sz w:val="22"/>
          <w:szCs w:val="22"/>
          <w:lang w:eastAsia="es-ES_tradnl"/>
        </w:rPr>
        <w:t>     Se instruirá a la fiduciaria para que los recursos federales que hayan sido aportados al fideicomiso por la CONAFOR, que no estén debidamente devengados al 31 de diciembre de cada ejercicio fiscal a nivel de Persona Beneficiaria, deberán reintegrarse a la CONAFOR, considerándose devengados los recursos financieros, una vez que se haya constituido la obligación de entregarlos a la Persona Beneficiaria por haberse acreditado su elegibilidad antes del 31 de diciembre de cada ejercicio fiscal.</w:t>
      </w:r>
    </w:p>
    <w:p w:rsidR="00F50962" w:rsidRPr="00B917B9" w:rsidRDefault="00F50962" w:rsidP="00F50962">
      <w:pPr>
        <w:shd w:val="clear" w:color="auto" w:fill="FFFFFF"/>
        <w:ind w:hanging="432"/>
        <w:jc w:val="both"/>
        <w:rPr>
          <w:rFonts w:ascii="Cambria" w:eastAsia="Times New Roman" w:hAnsi="Cambria" w:cs="Arial"/>
          <w:color w:val="2F2F2F"/>
          <w:sz w:val="22"/>
          <w:szCs w:val="22"/>
          <w:lang w:eastAsia="es-ES_tradnl"/>
        </w:rPr>
      </w:pPr>
    </w:p>
    <w:p w:rsidR="00B917B9" w:rsidRPr="00F50962"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g)</w:t>
      </w:r>
      <w:r w:rsidRPr="00B917B9">
        <w:rPr>
          <w:rFonts w:ascii="Cambria" w:eastAsia="Times New Roman" w:hAnsi="Cambria" w:cs="Arial"/>
          <w:color w:val="2F2F2F"/>
          <w:sz w:val="22"/>
          <w:szCs w:val="22"/>
          <w:lang w:eastAsia="es-ES_tradnl"/>
        </w:rPr>
        <w:t>    Los remanentes de los recursos públicos que se hayan otorgado al fideicomiso por parte de la CONAFOR, se reintegrarán a dicha entidad, así como los rendimientos financieros generados.</w:t>
      </w:r>
    </w:p>
    <w:p w:rsidR="00F50962" w:rsidRPr="00B917B9" w:rsidRDefault="00F50962" w:rsidP="00B917B9">
      <w:pPr>
        <w:shd w:val="clear" w:color="auto" w:fill="FFFFFF"/>
        <w:ind w:hanging="432"/>
        <w:jc w:val="both"/>
        <w:rPr>
          <w:rFonts w:ascii="Cambria" w:eastAsia="Times New Roman" w:hAnsi="Cambria" w:cs="Arial"/>
          <w:color w:val="2F2F2F"/>
          <w:sz w:val="22"/>
          <w:szCs w:val="22"/>
          <w:lang w:eastAsia="es-ES_tradnl"/>
        </w:rPr>
      </w:pPr>
    </w:p>
    <w:p w:rsidR="00F50962" w:rsidRPr="00F50962" w:rsidRDefault="00B917B9" w:rsidP="00F50962">
      <w:pPr>
        <w:pStyle w:val="Prrafodelista"/>
        <w:numPr>
          <w:ilvl w:val="0"/>
          <w:numId w:val="1"/>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El fideicomiso no podrá extinguirse durante la vigencia del convenio de colaboración, en caso contrario será causa de rescisión anticipada del convenio de colaboración.</w:t>
      </w: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i)</w:t>
      </w:r>
      <w:r w:rsidRPr="00B917B9">
        <w:rPr>
          <w:rFonts w:ascii="Cambria" w:eastAsia="Times New Roman" w:hAnsi="Cambria" w:cs="Arial"/>
          <w:color w:val="2F2F2F"/>
          <w:sz w:val="22"/>
          <w:szCs w:val="22"/>
          <w:lang w:eastAsia="es-ES_tradnl"/>
        </w:rPr>
        <w:t>     Al extinguirse el fideicomiso, se deberán enterar los recursos públicos federales remanentes a la CONAFOR.</w:t>
      </w:r>
    </w:p>
    <w:p w:rsidR="00F50962" w:rsidRPr="00F50962" w:rsidRDefault="00F50962" w:rsidP="00F50962">
      <w:pPr>
        <w:shd w:val="clear" w:color="auto" w:fill="FFFFFF"/>
        <w:jc w:val="both"/>
        <w:rPr>
          <w:rFonts w:ascii="Cambria" w:eastAsia="Times New Roman" w:hAnsi="Cambria" w:cs="Arial"/>
          <w:color w:val="2F2F2F"/>
          <w:sz w:val="22"/>
          <w:szCs w:val="22"/>
          <w:lang w:eastAsia="es-ES_tradnl"/>
        </w:rPr>
      </w:pPr>
    </w:p>
    <w:p w:rsidR="00B917B9" w:rsidRPr="00B917B9"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aportaciones que realice la CONAFOR al fideicomiso privado, serán transferidas una vez que la parte interesada compruebe haber realizado la aportación convenida.</w:t>
      </w:r>
    </w:p>
    <w:p w:rsidR="00B917B9" w:rsidRPr="00B917B9"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Se preverá que no se podrán hacer traspasos de la subcuenta de la CONAFOR a ninguna otra cuenta o subcuenta.</w:t>
      </w:r>
    </w:p>
    <w:p w:rsidR="00F50962" w:rsidRPr="00F50962" w:rsidRDefault="00F50962" w:rsidP="00F50962">
      <w:pPr>
        <w:shd w:val="clear" w:color="auto" w:fill="FFFFFF"/>
        <w:jc w:val="both"/>
        <w:rPr>
          <w:rFonts w:ascii="Cambria" w:eastAsia="Times New Roman" w:hAnsi="Cambria" w:cs="Arial"/>
          <w:color w:val="2F2F2F"/>
          <w:sz w:val="22"/>
          <w:szCs w:val="22"/>
          <w:lang w:eastAsia="es-ES_tradnl"/>
        </w:rPr>
      </w:pPr>
    </w:p>
    <w:p w:rsidR="00B917B9" w:rsidRPr="00F50962"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Es facultad de la Coordinación General Jurídica de la CONAFOR determinar si el fideicomiso es elegible para la aportación de los recursos financieros asignados al MLPSA-FC. Asimismo, las aportaciones que la CONAFOR realice al fideicomiso no podrán representar patrimonio ni gastos operativos del mismo.</w:t>
      </w:r>
    </w:p>
    <w:p w:rsidR="00F50962" w:rsidRPr="00B917B9" w:rsidRDefault="00F50962" w:rsidP="00B917B9">
      <w:pPr>
        <w:shd w:val="clear" w:color="auto" w:fill="FFFFFF"/>
        <w:ind w:firstLine="288"/>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vii.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Evaluación de las Cartas de Intención (solicitudes).</w:t>
      </w:r>
    </w:p>
    <w:p w:rsidR="00F50962" w:rsidRPr="00F50962" w:rsidRDefault="00F50962" w:rsidP="00F50962">
      <w:pPr>
        <w:shd w:val="clear" w:color="auto" w:fill="FFFFFF"/>
        <w:jc w:val="both"/>
        <w:rPr>
          <w:rFonts w:ascii="Cambria" w:eastAsia="Times New Roman" w:hAnsi="Cambria" w:cs="Arial"/>
          <w:color w:val="2F2F2F"/>
          <w:sz w:val="22"/>
          <w:szCs w:val="22"/>
          <w:lang w:eastAsia="es-ES_tradnl"/>
        </w:rPr>
      </w:pPr>
    </w:p>
    <w:p w:rsidR="00B917B9" w:rsidRPr="00B917B9"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Serán sujetos de recibir los pagos por servicios ambientales derivados de un convenio de colaboración para promover mecanismos locales de PSA a través de fondos concurrentes, las personas proveedoras de servicios ambientales que cumplan con los requisitos del artículo 18 de estas Reglas.</w:t>
      </w:r>
    </w:p>
    <w:p w:rsidR="00F50962" w:rsidRPr="00F50962" w:rsidRDefault="00F50962" w:rsidP="00F50962">
      <w:pPr>
        <w:shd w:val="clear" w:color="auto" w:fill="FFFFFF"/>
        <w:jc w:val="both"/>
        <w:rPr>
          <w:rFonts w:ascii="Cambria" w:eastAsia="Times New Roman" w:hAnsi="Cambria" w:cs="Arial"/>
          <w:color w:val="2F2F2F"/>
          <w:sz w:val="22"/>
          <w:szCs w:val="22"/>
          <w:lang w:eastAsia="es-ES_tradnl"/>
        </w:rPr>
      </w:pPr>
    </w:p>
    <w:p w:rsidR="00B917B9" w:rsidRPr="00F50962"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No podrán ser consideradas como personas proveedoras o beneficiarias del pago, además de las indicadas en el artículo 10 de estas Reglas, las siguientes:</w:t>
      </w:r>
    </w:p>
    <w:p w:rsidR="00F50962" w:rsidRPr="00B917B9" w:rsidRDefault="00F50962" w:rsidP="00F50962">
      <w:pPr>
        <w:shd w:val="clear" w:color="auto" w:fill="FFFFFF"/>
        <w:jc w:val="both"/>
        <w:rPr>
          <w:rFonts w:ascii="Cambria" w:eastAsia="Times New Roman" w:hAnsi="Cambria" w:cs="Arial"/>
          <w:color w:val="2F2F2F"/>
          <w:sz w:val="22"/>
          <w:szCs w:val="22"/>
          <w:lang w:eastAsia="es-ES_tradnl"/>
        </w:rPr>
      </w:pPr>
    </w:p>
    <w:p w:rsidR="00B917B9" w:rsidRPr="00F50962" w:rsidRDefault="00B917B9" w:rsidP="00F50962">
      <w:pPr>
        <w:pStyle w:val="Prrafodelista"/>
        <w:numPr>
          <w:ilvl w:val="0"/>
          <w:numId w:val="4"/>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Las partes interesadas.</w:t>
      </w:r>
    </w:p>
    <w:p w:rsidR="00F50962" w:rsidRPr="00F50962" w:rsidRDefault="00F50962" w:rsidP="00F50962">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b)</w:t>
      </w:r>
      <w:r w:rsidRPr="00B917B9">
        <w:rPr>
          <w:rFonts w:ascii="Cambria" w:eastAsia="Times New Roman" w:hAnsi="Cambria" w:cs="Arial"/>
          <w:color w:val="2F2F2F"/>
          <w:sz w:val="22"/>
          <w:szCs w:val="22"/>
          <w:lang w:eastAsia="es-ES_tradnl"/>
        </w:rPr>
        <w:t>    Los cónyuges y parientes consanguíneos o por afinidad en línea directa hasta el segundo grado de las partes interesadas o de los miembros del consejo directivo o su equivalente de la persona moral.</w:t>
      </w:r>
    </w:p>
    <w:p w:rsidR="00B917B9" w:rsidRPr="00B917B9" w:rsidRDefault="00B917B9" w:rsidP="00B917B9">
      <w:pPr>
        <w:shd w:val="clear" w:color="auto" w:fill="FFFFFF"/>
        <w:ind w:hanging="432"/>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w:t>
      </w:r>
    </w:p>
    <w:p w:rsidR="00B917B9" w:rsidRPr="00F50962" w:rsidRDefault="00B917B9" w:rsidP="00F50962">
      <w:pPr>
        <w:pStyle w:val="Prrafodelista"/>
        <w:numPr>
          <w:ilvl w:val="0"/>
          <w:numId w:val="4"/>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Ex funcionarios públicos inhabilitados por la Secretaría de la Función Pública.</w:t>
      </w:r>
    </w:p>
    <w:p w:rsidR="00F50962" w:rsidRPr="00F50962" w:rsidRDefault="00F50962" w:rsidP="00F50962">
      <w:pPr>
        <w:pStyle w:val="Prrafodelista"/>
        <w:shd w:val="clear" w:color="auto" w:fill="FFFFFF"/>
        <w:ind w:left="-52"/>
        <w:jc w:val="both"/>
        <w:rPr>
          <w:rFonts w:ascii="Cambria" w:eastAsia="Times New Roman" w:hAnsi="Cambria" w:cs="Arial"/>
          <w:color w:val="2F2F2F"/>
          <w:sz w:val="22"/>
          <w:szCs w:val="22"/>
          <w:lang w:eastAsia="es-ES_tradnl"/>
        </w:rPr>
      </w:pPr>
    </w:p>
    <w:p w:rsidR="00B917B9" w:rsidRPr="00F50962" w:rsidRDefault="00B917B9" w:rsidP="00F50962">
      <w:pPr>
        <w:pStyle w:val="Prrafodelista"/>
        <w:numPr>
          <w:ilvl w:val="0"/>
          <w:numId w:val="4"/>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t>Las sociedades anónimas de capital variable, asociaciones u otras figuras con fines de lucro que el Comité considere.</w:t>
      </w:r>
    </w:p>
    <w:p w:rsidR="00F50962" w:rsidRPr="00F50962" w:rsidRDefault="00F50962" w:rsidP="00F50962">
      <w:pPr>
        <w:shd w:val="clear" w:color="auto" w:fill="FFFFFF"/>
        <w:jc w:val="both"/>
        <w:rPr>
          <w:rFonts w:ascii="Cambria" w:eastAsia="Times New Roman" w:hAnsi="Cambria" w:cs="Arial"/>
          <w:color w:val="2F2F2F"/>
          <w:sz w:val="22"/>
          <w:szCs w:val="22"/>
          <w:lang w:eastAsia="es-ES_tradnl"/>
        </w:rPr>
      </w:pPr>
    </w:p>
    <w:p w:rsidR="00B917B9" w:rsidRPr="00F50962" w:rsidRDefault="00B917B9" w:rsidP="00F50962">
      <w:pPr>
        <w:pStyle w:val="Prrafodelista"/>
        <w:numPr>
          <w:ilvl w:val="0"/>
          <w:numId w:val="4"/>
        </w:numPr>
        <w:shd w:val="clear" w:color="auto" w:fill="FFFFFF"/>
        <w:jc w:val="both"/>
        <w:rPr>
          <w:rFonts w:ascii="Cambria" w:eastAsia="Times New Roman" w:hAnsi="Cambria" w:cs="Arial"/>
          <w:color w:val="2F2F2F"/>
          <w:sz w:val="22"/>
          <w:szCs w:val="22"/>
          <w:lang w:eastAsia="es-ES_tradnl"/>
        </w:rPr>
      </w:pPr>
      <w:r w:rsidRPr="00F50962">
        <w:rPr>
          <w:rFonts w:ascii="Cambria" w:eastAsia="Times New Roman" w:hAnsi="Cambria" w:cs="Arial"/>
          <w:color w:val="2F2F2F"/>
          <w:sz w:val="22"/>
          <w:szCs w:val="22"/>
          <w:lang w:eastAsia="es-ES_tradnl"/>
        </w:rPr>
        <w:lastRenderedPageBreak/>
        <w:t>Personas proveedoras de servicios ambientales que hayan incumplido los compromisos u obligaciones en convenios previos.</w:t>
      </w:r>
    </w:p>
    <w:p w:rsidR="00F50962" w:rsidRPr="00F50962" w:rsidRDefault="00F50962" w:rsidP="00F50962">
      <w:pPr>
        <w:pStyle w:val="Prrafodelista"/>
        <w:rPr>
          <w:rFonts w:ascii="Cambria" w:eastAsia="Times New Roman" w:hAnsi="Cambria" w:cs="Arial"/>
          <w:color w:val="2F2F2F"/>
          <w:sz w:val="22"/>
          <w:szCs w:val="22"/>
          <w:lang w:eastAsia="es-ES_tradnl"/>
        </w:rPr>
      </w:pPr>
    </w:p>
    <w:p w:rsidR="00F50962" w:rsidRPr="00F50962" w:rsidRDefault="00F50962" w:rsidP="00F50962">
      <w:pPr>
        <w:shd w:val="clear" w:color="auto" w:fill="FFFFFF"/>
        <w:jc w:val="both"/>
        <w:rPr>
          <w:rFonts w:ascii="Cambria" w:eastAsia="Times New Roman" w:hAnsi="Cambria" w:cs="Arial"/>
          <w:b/>
          <w:bCs/>
          <w:color w:val="2F2F2F"/>
          <w:sz w:val="22"/>
          <w:szCs w:val="22"/>
          <w:lang w:eastAsia="es-ES_tradnl"/>
        </w:rPr>
      </w:pPr>
    </w:p>
    <w:p w:rsidR="00B917B9" w:rsidRPr="00B917B9" w:rsidRDefault="00B917B9" w:rsidP="00F50962">
      <w:pPr>
        <w:shd w:val="clear" w:color="auto" w:fill="FFFFFF"/>
        <w:jc w:val="both"/>
        <w:rPr>
          <w:rFonts w:ascii="Cambria" w:eastAsia="Times New Roman" w:hAnsi="Cambria" w:cs="Arial"/>
          <w:color w:val="2F2F2F"/>
          <w:sz w:val="22"/>
          <w:szCs w:val="22"/>
          <w:lang w:eastAsia="es-ES_tradnl"/>
        </w:rPr>
      </w:pPr>
      <w:r w:rsidRPr="00B917B9">
        <w:rPr>
          <w:rFonts w:ascii="Cambria" w:eastAsia="Times New Roman" w:hAnsi="Cambria" w:cs="Arial"/>
          <w:b/>
          <w:bCs/>
          <w:color w:val="2F2F2F"/>
          <w:sz w:val="22"/>
          <w:szCs w:val="22"/>
          <w:lang w:eastAsia="es-ES_tradnl"/>
        </w:rPr>
        <w:t>xiii.</w:t>
      </w:r>
      <w:r w:rsidRPr="00B917B9">
        <w:rPr>
          <w:rFonts w:ascii="Cambria" w:eastAsia="Times New Roman" w:hAnsi="Cambria" w:cs="Arial"/>
          <w:color w:val="2F2F2F"/>
          <w:sz w:val="22"/>
          <w:szCs w:val="22"/>
          <w:lang w:eastAsia="es-ES_tradnl"/>
        </w:rPr>
        <w:t>  </w:t>
      </w:r>
      <w:r w:rsidRPr="00B917B9">
        <w:rPr>
          <w:rFonts w:ascii="Cambria" w:eastAsia="Times New Roman" w:hAnsi="Cambria" w:cs="Arial"/>
          <w:b/>
          <w:bCs/>
          <w:color w:val="2F2F2F"/>
          <w:sz w:val="22"/>
          <w:szCs w:val="22"/>
          <w:lang w:eastAsia="es-ES_tradnl"/>
        </w:rPr>
        <w:t>Criterios específicos de prelación.</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Las cartas de intención serán evaluadas tomando en cuenta los siguientes criterios de prelación, por lo que las partes interesadas, en su caso, deberán entregar la documentación comprobatoria:</w:t>
      </w:r>
    </w:p>
    <w:tbl>
      <w:tblPr>
        <w:tblW w:w="0" w:type="auto"/>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7215"/>
        <w:gridCol w:w="1497"/>
      </w:tblGrid>
      <w:tr w:rsidR="00B917B9" w:rsidRPr="00B917B9" w:rsidTr="00B917B9">
        <w:trPr>
          <w:trHeight w:val="356"/>
        </w:trPr>
        <w:tc>
          <w:tcPr>
            <w:tcW w:w="8712" w:type="dxa"/>
            <w:gridSpan w:val="2"/>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divId w:val="1233616011"/>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Criterios de prelación aplicables a SA.2 MLPSA-FC.</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I. Porcentaje de aportación de la parte interesada.</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Mayor a 80% de la aportación total del convenio de colaboración.</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En el intervalo de 66% a 80% de la aportación total del convenio de colaboración.</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7</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 En el intervalo de 55% a 65% de la aportación total del convenio de colaboración.</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II. Cartas de intención que demuestren contar con mecanismos financieros.</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82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Demuestra tener un mecanismo financiero con sistema de recaudación, dispersión y manejo de recursos (fideicomiso, fondo específico para PSA, reglas o lineamientos del PSA local, focalización de áreas prioritarias, programa de donativos o aportaciones, etc.).</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58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Demuestra tener dos elementos de un mecanismo financiero para el esquema local de PSA. (Es decir sólo recaudación y dispersión, o instrumento para el manejo de recursos y recaudación, etc.).</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7</w:t>
            </w:r>
          </w:p>
        </w:tc>
      </w:tr>
      <w:tr w:rsidR="00B917B9" w:rsidRPr="00B917B9" w:rsidTr="00B917B9">
        <w:trPr>
          <w:trHeight w:val="58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 Demuestra tener sólo una parte de un mecanismo financiero para el esquema local de PSA. (Es decir sólo recaudación o sólo dispersión o instrumento para el manejo de recursos).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821"/>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III. Cartas de Intención que se ubiquen total o parcialmente dentro de áreas con grado de marginación medio, alto y muy alto, según la clasificación de la CONAPO, 2015 (mayor proporción).</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Grado de marginación muy alto.</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Grado de marginación alto.</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6</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 Grado de marginación medio.</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w:t>
            </w:r>
          </w:p>
        </w:tc>
      </w:tr>
      <w:tr w:rsidR="00B917B9" w:rsidRPr="00B917B9" w:rsidTr="00B917B9">
        <w:trPr>
          <w:trHeight w:val="581"/>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IV. Cartas de intención que seleccionaron a las personas proveedoras mediante convocatoria local.</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82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La parte interesada realizó una convocatoria local en medios masivos de comunicación, como diarios, radio, etc.; mediante la cual se seleccionó a las personas proveedoras de servicios ambientales (anexar evidencia de la convocatoria).</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106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La parte interesada realizó una convocatoria local mediante reuniones locales, murales, posters o por invitación dirigida con la cual se seleccionó a las personas proveedoras de servicios ambientales (anexar evidencia de la convocatoria con la lista de asistencia de todos los participantes).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581"/>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lastRenderedPageBreak/>
              <w:t>V. Cartas de intención que demuestren que el recurso económico proviene de usuarios de Servicios Ambientales.</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41"/>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El recurso económico proviene de usuarios directos de los servicios ambientales.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356"/>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El recurso económico proviene de usuarios indirectos de los servicios ambientales.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bl>
    <w:p w:rsidR="00B917B9" w:rsidRPr="00B917B9" w:rsidRDefault="00B917B9" w:rsidP="00B917B9">
      <w:pPr>
        <w:shd w:val="clear" w:color="auto" w:fill="FFFFFF"/>
        <w:jc w:val="both"/>
        <w:rPr>
          <w:rFonts w:ascii="Cambria" w:eastAsia="Times New Roman" w:hAnsi="Cambria" w:cs="Times New Roman"/>
          <w:color w:val="2F2F2F"/>
          <w:sz w:val="22"/>
          <w:szCs w:val="22"/>
          <w:lang w:eastAsia="es-ES_tradnl"/>
        </w:rPr>
      </w:pPr>
      <w:r w:rsidRPr="00B917B9">
        <w:rPr>
          <w:rFonts w:ascii="Cambria" w:eastAsia="Times New Roman" w:hAnsi="Cambria" w:cs="Times New Roman"/>
          <w:color w:val="2F2F2F"/>
          <w:sz w:val="22"/>
          <w:szCs w:val="22"/>
          <w:lang w:eastAsia="es-ES_tradnl"/>
        </w:rPr>
        <w:t> </w:t>
      </w:r>
    </w:p>
    <w:tbl>
      <w:tblPr>
        <w:tblW w:w="0" w:type="auto"/>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B917B9" w:rsidRPr="00B917B9" w:rsidTr="00B917B9">
        <w:tc>
          <w:tcPr>
            <w:tcW w:w="0" w:type="auto"/>
            <w:shd w:val="clear" w:color="auto" w:fill="FFFFFF"/>
            <w:vAlign w:val="center"/>
            <w:hideMark/>
          </w:tcPr>
          <w:p w:rsidR="00B917B9" w:rsidRPr="00B917B9" w:rsidRDefault="00B917B9" w:rsidP="00B917B9">
            <w:pPr>
              <w:shd w:val="clear" w:color="auto" w:fill="FFFFFF"/>
              <w:jc w:val="both"/>
              <w:rPr>
                <w:rFonts w:ascii="Cambria" w:eastAsia="Times New Roman" w:hAnsi="Cambria" w:cs="Times New Roman"/>
                <w:color w:val="2F2F2F"/>
                <w:sz w:val="22"/>
                <w:szCs w:val="22"/>
                <w:lang w:eastAsia="es-ES_tradnl"/>
              </w:rPr>
            </w:pPr>
          </w:p>
        </w:tc>
      </w:tr>
    </w:tbl>
    <w:p w:rsidR="00B917B9" w:rsidRPr="00B917B9" w:rsidRDefault="00B917B9" w:rsidP="00B917B9">
      <w:pPr>
        <w:rPr>
          <w:rFonts w:ascii="Cambria" w:eastAsia="Times New Roman" w:hAnsi="Cambria" w:cs="Times New Roman"/>
          <w:vanish/>
          <w:sz w:val="22"/>
          <w:szCs w:val="22"/>
          <w:lang w:eastAsia="es-ES_tradnl"/>
        </w:rPr>
      </w:pPr>
    </w:p>
    <w:tbl>
      <w:tblPr>
        <w:tblW w:w="0" w:type="auto"/>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7215"/>
        <w:gridCol w:w="1497"/>
      </w:tblGrid>
      <w:tr w:rsidR="00B917B9" w:rsidRPr="00B917B9" w:rsidTr="00B917B9">
        <w:trPr>
          <w:trHeight w:val="735"/>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VI. Las partes interesadas que opten por dar un porcentaje de aportación anticipada al FFM al cierre de la convocatoria, o que tengan o hayan tenido convenios específicos de PSA con la CONAFOR, en los cuales solo las partes interesadas aportan recursos económicos.</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533"/>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1.- 81% a 100% de la aportación total propuesta por las partes interesadas, o que tengan o hayan tenido un convenio de PSA donde solo la parte interesada aporta recursos económicos.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10</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2.- 51% a 80% de la aportación total propuesta por las partes interesadas.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7</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 Aportación total propuesta por las partes interesadas de 50% o menos.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w:t>
            </w:r>
          </w:p>
        </w:tc>
      </w:tr>
      <w:tr w:rsidR="00B917B9" w:rsidRPr="00B917B9" w:rsidTr="00B917B9">
        <w:trPr>
          <w:trHeight w:val="533"/>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VII. Las partes interesadas que tengan convenios previos, vigentes o finiquitados y hayan cumplido sus compromisos en tiempo podrán proponer nuevos convenios.</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Convenios terminados satisfactoriamente en tiempo y forma.</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Convenios vigentes en los que se ha cumplido en tiempo y forma las obligaciones.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w:t>
            </w:r>
          </w:p>
        </w:tc>
      </w:tr>
      <w:tr w:rsidR="00B917B9" w:rsidRPr="00B917B9" w:rsidTr="00B917B9">
        <w:trPr>
          <w:trHeight w:val="533"/>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VIII. Más de 50% de la superficie total viable de la carta de intención se ubica dentro de una Reserva de Agua, identificada por la CONAGUA.</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Sí</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6</w:t>
            </w:r>
          </w:p>
        </w:tc>
      </w:tr>
      <w:tr w:rsidR="00B917B9" w:rsidRPr="00B917B9" w:rsidTr="00B917B9">
        <w:trPr>
          <w:trHeight w:val="749"/>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IX. Superficie total viable de la carta de intención que se ubica dentro de áreas con Índice de Presión Económica a la Deforestación medio, alto y, muy alto, según la clasificación del INECC.</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50% o más.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Menos de 50%.</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w:t>
            </w:r>
          </w:p>
        </w:tc>
      </w:tr>
      <w:tr w:rsidR="00B917B9" w:rsidRPr="00B917B9" w:rsidTr="00B917B9">
        <w:trPr>
          <w:trHeight w:val="965"/>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X. Más de 50% de la superficie total viable de la carta de intención se ubica en un sitio de atención prioritaria para la conservación de la biodiversidad (SAP categorías alta, extrema y media, 2016) y además coincide con corredores bioclimáticos para la conservación determinados por la CONABIO (CBC, 2020).</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Prioridad extrema ubicado en un SAP que coincide con un CBC.</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325"/>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Prioridad alta ubicado en un SAP.</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w:t>
            </w:r>
          </w:p>
        </w:tc>
      </w:tr>
      <w:tr w:rsidR="00B917B9" w:rsidRPr="00B917B9" w:rsidTr="00B917B9">
        <w:trPr>
          <w:trHeight w:val="325"/>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3. Prioridad media ubicado en un CBC.</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w:t>
            </w:r>
          </w:p>
        </w:tc>
      </w:tr>
      <w:tr w:rsidR="00B917B9" w:rsidRPr="00B917B9" w:rsidTr="00B917B9">
        <w:trPr>
          <w:trHeight w:val="773"/>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XI. Cartas de intención que demuestren que las áreas fueron seleccionadas por incluirse en estudios de identificación de áreas críticas o importantes para la provisión de servicios ambientales o que cuenten con un plan de acción climática.</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w:t>
            </w:r>
          </w:p>
        </w:tc>
      </w:tr>
      <w:tr w:rsidR="00B917B9" w:rsidRPr="00B917B9" w:rsidTr="00B917B9">
        <w:trPr>
          <w:trHeight w:val="325"/>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Presenta más de dos estudios que documentan la importancia del área propuesta.</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r w:rsidR="00B917B9" w:rsidRPr="00B917B9" w:rsidTr="00B917B9">
        <w:trPr>
          <w:trHeight w:val="325"/>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lastRenderedPageBreak/>
              <w:t>2. Presenta al menos un estudio que documenta la importancia del área propuesta.</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w:t>
            </w:r>
          </w:p>
        </w:tc>
      </w:tr>
      <w:tr w:rsidR="00B917B9" w:rsidRPr="00B917B9" w:rsidTr="00B917B9">
        <w:trPr>
          <w:trHeight w:val="773"/>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XII. La persona proveedora es mujer, indígena</w:t>
            </w:r>
            <w:r w:rsidRPr="00B917B9">
              <w:rPr>
                <w:rFonts w:ascii="Cambria" w:eastAsia="Times New Roman" w:hAnsi="Cambria" w:cs="Arial"/>
                <w:color w:val="000000"/>
                <w:sz w:val="22"/>
                <w:szCs w:val="22"/>
                <w:lang w:eastAsia="es-ES_tradnl"/>
              </w:rPr>
              <w:t> </w:t>
            </w:r>
            <w:r w:rsidRPr="00B917B9">
              <w:rPr>
                <w:rFonts w:ascii="Cambria" w:eastAsia="Times New Roman" w:hAnsi="Cambria" w:cs="Arial"/>
                <w:b/>
                <w:bCs/>
                <w:color w:val="000000"/>
                <w:sz w:val="22"/>
                <w:szCs w:val="22"/>
                <w:lang w:eastAsia="es-ES_tradnl"/>
              </w:rPr>
              <w:t>o afromexicana, o bien, la persona moral proveedora integra en su órgano de representación a mujeres o indígenas.</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 (la suma</w:t>
            </w:r>
            <w:r w:rsidRPr="00B917B9">
              <w:rPr>
                <w:rFonts w:ascii="Cambria" w:eastAsia="Times New Roman" w:hAnsi="Cambria" w:cs="Arial"/>
                <w:color w:val="000000"/>
                <w:sz w:val="22"/>
                <w:szCs w:val="22"/>
                <w:lang w:eastAsia="es-ES_tradnl"/>
              </w:rPr>
              <w:br/>
            </w:r>
            <w:r w:rsidRPr="00B917B9">
              <w:rPr>
                <w:rFonts w:ascii="Cambria" w:eastAsia="Times New Roman" w:hAnsi="Cambria" w:cs="Arial"/>
                <w:b/>
                <w:bCs/>
                <w:color w:val="000000"/>
                <w:sz w:val="22"/>
                <w:szCs w:val="22"/>
                <w:lang w:eastAsia="es-ES_tradnl"/>
              </w:rPr>
              <w:t>máxima será 5</w:t>
            </w:r>
            <w:r w:rsidRPr="00B917B9">
              <w:rPr>
                <w:rFonts w:ascii="Cambria" w:eastAsia="Times New Roman" w:hAnsi="Cambria" w:cs="Arial"/>
                <w:color w:val="000000"/>
                <w:sz w:val="22"/>
                <w:szCs w:val="22"/>
                <w:lang w:eastAsia="es-ES_tradnl"/>
              </w:rPr>
              <w:br/>
            </w:r>
            <w:r w:rsidRPr="00B917B9">
              <w:rPr>
                <w:rFonts w:ascii="Cambria" w:eastAsia="Times New Roman" w:hAnsi="Cambria" w:cs="Arial"/>
                <w:b/>
                <w:bCs/>
                <w:color w:val="000000"/>
                <w:sz w:val="22"/>
                <w:szCs w:val="22"/>
                <w:lang w:eastAsia="es-ES_tradnl"/>
              </w:rPr>
              <w:t>puntos)</w:t>
            </w:r>
          </w:p>
        </w:tc>
      </w:tr>
      <w:tr w:rsidR="00B917B9" w:rsidRPr="00B917B9" w:rsidTr="00B917B9">
        <w:trPr>
          <w:trHeight w:val="549"/>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En ejidos y comunidades, el órgano de representación integra a una o varias mujeres o indígenas.</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w:t>
            </w:r>
          </w:p>
        </w:tc>
      </w:tr>
      <w:tr w:rsidR="00B917B9" w:rsidRPr="00B917B9" w:rsidTr="00B917B9">
        <w:trPr>
          <w:trHeight w:val="317"/>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2. En caso de propiedad privada, el dueño o poseedor es mujer o indígena.</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0.5</w:t>
            </w:r>
          </w:p>
        </w:tc>
      </w:tr>
      <w:tr w:rsidR="00B917B9" w:rsidRPr="00B917B9" w:rsidTr="00B917B9">
        <w:trPr>
          <w:trHeight w:val="749"/>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XIII. Personas proveedoras que presenten evidencia documental de la implementación del Monitoreo Comunitario de la Biodiversidad (BIOCOMUNI).</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Puntos (la suma</w:t>
            </w:r>
            <w:r w:rsidRPr="00B917B9">
              <w:rPr>
                <w:rFonts w:ascii="Cambria" w:eastAsia="Times New Roman" w:hAnsi="Cambria" w:cs="Arial"/>
                <w:color w:val="000000"/>
                <w:sz w:val="22"/>
                <w:szCs w:val="22"/>
                <w:lang w:eastAsia="es-ES_tradnl"/>
              </w:rPr>
              <w:br/>
            </w:r>
            <w:r w:rsidRPr="00B917B9">
              <w:rPr>
                <w:rFonts w:ascii="Cambria" w:eastAsia="Times New Roman" w:hAnsi="Cambria" w:cs="Arial"/>
                <w:b/>
                <w:bCs/>
                <w:color w:val="000000"/>
                <w:sz w:val="22"/>
                <w:szCs w:val="22"/>
                <w:lang w:eastAsia="es-ES_tradnl"/>
              </w:rPr>
              <w:t>máxima será 5</w:t>
            </w:r>
            <w:r w:rsidRPr="00B917B9">
              <w:rPr>
                <w:rFonts w:ascii="Cambria" w:eastAsia="Times New Roman" w:hAnsi="Cambria" w:cs="Arial"/>
                <w:color w:val="000000"/>
                <w:sz w:val="22"/>
                <w:szCs w:val="22"/>
                <w:lang w:eastAsia="es-ES_tradnl"/>
              </w:rPr>
              <w:br/>
            </w:r>
            <w:r w:rsidRPr="00B917B9">
              <w:rPr>
                <w:rFonts w:ascii="Cambria" w:eastAsia="Times New Roman" w:hAnsi="Cambria" w:cs="Arial"/>
                <w:b/>
                <w:bCs/>
                <w:color w:val="000000"/>
                <w:sz w:val="22"/>
                <w:szCs w:val="22"/>
                <w:lang w:eastAsia="es-ES_tradnl"/>
              </w:rPr>
              <w:t>puntos)</w:t>
            </w:r>
          </w:p>
        </w:tc>
      </w:tr>
      <w:tr w:rsidR="00B917B9" w:rsidRPr="00B917B9" w:rsidTr="00B917B9">
        <w:trPr>
          <w:trHeight w:val="533"/>
        </w:trPr>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1. Personas proveedoras de servicios ambientales que presentaron evidencia documental de implementación del BIOCOMUNI.</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0.5</w:t>
            </w:r>
          </w:p>
        </w:tc>
      </w:tr>
      <w:tr w:rsidR="00B917B9" w:rsidRPr="00B917B9" w:rsidTr="00B917B9">
        <w:trPr>
          <w:trHeight w:val="548"/>
        </w:trPr>
        <w:tc>
          <w:tcPr>
            <w:tcW w:w="721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both"/>
              <w:rPr>
                <w:rFonts w:ascii="Cambria" w:eastAsia="Times New Roman" w:hAnsi="Cambria" w:cs="Arial"/>
                <w:color w:val="000000"/>
                <w:sz w:val="22"/>
                <w:szCs w:val="22"/>
                <w:lang w:eastAsia="es-ES_tradnl"/>
              </w:rPr>
            </w:pPr>
            <w:r w:rsidRPr="00B917B9">
              <w:rPr>
                <w:rFonts w:ascii="Cambria" w:eastAsia="Times New Roman" w:hAnsi="Cambria" w:cs="Arial"/>
                <w:b/>
                <w:bCs/>
                <w:color w:val="000000"/>
                <w:sz w:val="22"/>
                <w:szCs w:val="22"/>
                <w:lang w:eastAsia="es-ES_tradnl"/>
              </w:rPr>
              <w:t>XIV. Las partes interesadas que en su carta de intención seleccionen como mecanismo de aportación el depósito de los recursos al Fondo Forestal Mexicano (FFM).</w:t>
            </w:r>
          </w:p>
        </w:tc>
        <w:tc>
          <w:tcPr>
            <w:tcW w:w="149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2" w:type="dxa"/>
              <w:bottom w:w="15" w:type="dxa"/>
              <w:right w:w="72" w:type="dxa"/>
            </w:tcMar>
            <w:vAlign w:val="center"/>
            <w:hideMark/>
          </w:tcPr>
          <w:p w:rsidR="00B917B9" w:rsidRPr="00B917B9" w:rsidRDefault="00B917B9" w:rsidP="00B917B9">
            <w:pPr>
              <w:jc w:val="center"/>
              <w:rPr>
                <w:rFonts w:ascii="Cambria" w:eastAsia="Times New Roman" w:hAnsi="Cambria" w:cs="Arial"/>
                <w:color w:val="000000"/>
                <w:sz w:val="22"/>
                <w:szCs w:val="22"/>
                <w:lang w:eastAsia="es-ES_tradnl"/>
              </w:rPr>
            </w:pPr>
            <w:r w:rsidRPr="00B917B9">
              <w:rPr>
                <w:rFonts w:ascii="Cambria" w:eastAsia="Times New Roman" w:hAnsi="Cambria" w:cs="Arial"/>
                <w:color w:val="000000"/>
                <w:sz w:val="22"/>
                <w:szCs w:val="22"/>
                <w:lang w:eastAsia="es-ES_tradnl"/>
              </w:rPr>
              <w:t>5</w:t>
            </w:r>
          </w:p>
        </w:tc>
      </w:tr>
    </w:tbl>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 </w:t>
      </w:r>
    </w:p>
    <w:p w:rsidR="00B917B9" w:rsidRPr="00B917B9" w:rsidRDefault="00B917B9" w:rsidP="00B917B9">
      <w:pPr>
        <w:shd w:val="clear" w:color="auto" w:fill="FFFFFF"/>
        <w:ind w:firstLine="288"/>
        <w:jc w:val="both"/>
        <w:rPr>
          <w:rFonts w:ascii="Cambria" w:eastAsia="Times New Roman" w:hAnsi="Cambria" w:cs="Arial"/>
          <w:color w:val="2F2F2F"/>
          <w:sz w:val="22"/>
          <w:szCs w:val="22"/>
          <w:lang w:eastAsia="es-ES_tradnl"/>
        </w:rPr>
      </w:pPr>
      <w:r w:rsidRPr="00B917B9">
        <w:rPr>
          <w:rFonts w:ascii="Cambria" w:eastAsia="Times New Roman" w:hAnsi="Cambria" w:cs="Arial"/>
          <w:color w:val="2F2F2F"/>
          <w:sz w:val="22"/>
          <w:szCs w:val="22"/>
          <w:lang w:eastAsia="es-ES_tradnl"/>
        </w:rPr>
        <w:t>En caso de empate de las cartas de intención propuestas calificadas con los criterios de prelación, se dará preferencia a las que cuenten con mayor superficie comprometida.</w:t>
      </w:r>
    </w:p>
    <w:p w:rsidR="00B917B9" w:rsidRPr="00F50962" w:rsidRDefault="00B917B9">
      <w:pPr>
        <w:rPr>
          <w:rFonts w:ascii="Cambria" w:hAnsi="Cambria"/>
          <w:sz w:val="22"/>
          <w:szCs w:val="22"/>
        </w:rPr>
      </w:pPr>
    </w:p>
    <w:sectPr w:rsidR="00B917B9" w:rsidRPr="00F50962" w:rsidSect="00812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41587"/>
    <w:multiLevelType w:val="hybridMultilevel"/>
    <w:tmpl w:val="4D229182"/>
    <w:lvl w:ilvl="0" w:tplc="00C6F352">
      <w:start w:val="1"/>
      <w:numFmt w:val="lowerLetter"/>
      <w:lvlText w:val="%1)"/>
      <w:lvlJc w:val="left"/>
      <w:pPr>
        <w:ind w:left="-52" w:hanging="380"/>
      </w:pPr>
      <w:rPr>
        <w:rFonts w:hint="default"/>
        <w:b/>
      </w:rPr>
    </w:lvl>
    <w:lvl w:ilvl="1" w:tplc="040A0019" w:tentative="1">
      <w:start w:val="1"/>
      <w:numFmt w:val="lowerLetter"/>
      <w:lvlText w:val="%2."/>
      <w:lvlJc w:val="left"/>
      <w:pPr>
        <w:ind w:left="648" w:hanging="360"/>
      </w:pPr>
    </w:lvl>
    <w:lvl w:ilvl="2" w:tplc="040A001B" w:tentative="1">
      <w:start w:val="1"/>
      <w:numFmt w:val="lowerRoman"/>
      <w:lvlText w:val="%3."/>
      <w:lvlJc w:val="right"/>
      <w:pPr>
        <w:ind w:left="1368" w:hanging="180"/>
      </w:pPr>
    </w:lvl>
    <w:lvl w:ilvl="3" w:tplc="040A000F" w:tentative="1">
      <w:start w:val="1"/>
      <w:numFmt w:val="decimal"/>
      <w:lvlText w:val="%4."/>
      <w:lvlJc w:val="left"/>
      <w:pPr>
        <w:ind w:left="2088" w:hanging="360"/>
      </w:pPr>
    </w:lvl>
    <w:lvl w:ilvl="4" w:tplc="040A0019" w:tentative="1">
      <w:start w:val="1"/>
      <w:numFmt w:val="lowerLetter"/>
      <w:lvlText w:val="%5."/>
      <w:lvlJc w:val="left"/>
      <w:pPr>
        <w:ind w:left="2808" w:hanging="360"/>
      </w:pPr>
    </w:lvl>
    <w:lvl w:ilvl="5" w:tplc="040A001B" w:tentative="1">
      <w:start w:val="1"/>
      <w:numFmt w:val="lowerRoman"/>
      <w:lvlText w:val="%6."/>
      <w:lvlJc w:val="right"/>
      <w:pPr>
        <w:ind w:left="3528" w:hanging="180"/>
      </w:pPr>
    </w:lvl>
    <w:lvl w:ilvl="6" w:tplc="040A000F" w:tentative="1">
      <w:start w:val="1"/>
      <w:numFmt w:val="decimal"/>
      <w:lvlText w:val="%7."/>
      <w:lvlJc w:val="left"/>
      <w:pPr>
        <w:ind w:left="4248" w:hanging="360"/>
      </w:pPr>
    </w:lvl>
    <w:lvl w:ilvl="7" w:tplc="040A0019" w:tentative="1">
      <w:start w:val="1"/>
      <w:numFmt w:val="lowerLetter"/>
      <w:lvlText w:val="%8."/>
      <w:lvlJc w:val="left"/>
      <w:pPr>
        <w:ind w:left="4968" w:hanging="360"/>
      </w:pPr>
    </w:lvl>
    <w:lvl w:ilvl="8" w:tplc="040A001B" w:tentative="1">
      <w:start w:val="1"/>
      <w:numFmt w:val="lowerRoman"/>
      <w:lvlText w:val="%9."/>
      <w:lvlJc w:val="right"/>
      <w:pPr>
        <w:ind w:left="5688" w:hanging="180"/>
      </w:pPr>
    </w:lvl>
  </w:abstractNum>
  <w:abstractNum w:abstractNumId="1" w15:restartNumberingAfterBreak="0">
    <w:nsid w:val="17931341"/>
    <w:multiLevelType w:val="hybridMultilevel"/>
    <w:tmpl w:val="C6B0E93E"/>
    <w:lvl w:ilvl="0" w:tplc="AF168DBC">
      <w:start w:val="1"/>
      <w:numFmt w:val="lowerLetter"/>
      <w:lvlText w:val="%1)"/>
      <w:lvlJc w:val="left"/>
      <w:pPr>
        <w:ind w:left="-52" w:hanging="380"/>
      </w:pPr>
      <w:rPr>
        <w:rFonts w:hint="default"/>
        <w:b/>
      </w:rPr>
    </w:lvl>
    <w:lvl w:ilvl="1" w:tplc="040A0019" w:tentative="1">
      <w:start w:val="1"/>
      <w:numFmt w:val="lowerLetter"/>
      <w:lvlText w:val="%2."/>
      <w:lvlJc w:val="left"/>
      <w:pPr>
        <w:ind w:left="648" w:hanging="360"/>
      </w:pPr>
    </w:lvl>
    <w:lvl w:ilvl="2" w:tplc="040A001B" w:tentative="1">
      <w:start w:val="1"/>
      <w:numFmt w:val="lowerRoman"/>
      <w:lvlText w:val="%3."/>
      <w:lvlJc w:val="right"/>
      <w:pPr>
        <w:ind w:left="1368" w:hanging="180"/>
      </w:pPr>
    </w:lvl>
    <w:lvl w:ilvl="3" w:tplc="040A000F" w:tentative="1">
      <w:start w:val="1"/>
      <w:numFmt w:val="decimal"/>
      <w:lvlText w:val="%4."/>
      <w:lvlJc w:val="left"/>
      <w:pPr>
        <w:ind w:left="2088" w:hanging="360"/>
      </w:pPr>
    </w:lvl>
    <w:lvl w:ilvl="4" w:tplc="040A0019" w:tentative="1">
      <w:start w:val="1"/>
      <w:numFmt w:val="lowerLetter"/>
      <w:lvlText w:val="%5."/>
      <w:lvlJc w:val="left"/>
      <w:pPr>
        <w:ind w:left="2808" w:hanging="360"/>
      </w:pPr>
    </w:lvl>
    <w:lvl w:ilvl="5" w:tplc="040A001B" w:tentative="1">
      <w:start w:val="1"/>
      <w:numFmt w:val="lowerRoman"/>
      <w:lvlText w:val="%6."/>
      <w:lvlJc w:val="right"/>
      <w:pPr>
        <w:ind w:left="3528" w:hanging="180"/>
      </w:pPr>
    </w:lvl>
    <w:lvl w:ilvl="6" w:tplc="040A000F" w:tentative="1">
      <w:start w:val="1"/>
      <w:numFmt w:val="decimal"/>
      <w:lvlText w:val="%7."/>
      <w:lvlJc w:val="left"/>
      <w:pPr>
        <w:ind w:left="4248" w:hanging="360"/>
      </w:pPr>
    </w:lvl>
    <w:lvl w:ilvl="7" w:tplc="040A0019" w:tentative="1">
      <w:start w:val="1"/>
      <w:numFmt w:val="lowerLetter"/>
      <w:lvlText w:val="%8."/>
      <w:lvlJc w:val="left"/>
      <w:pPr>
        <w:ind w:left="4968" w:hanging="360"/>
      </w:pPr>
    </w:lvl>
    <w:lvl w:ilvl="8" w:tplc="040A001B" w:tentative="1">
      <w:start w:val="1"/>
      <w:numFmt w:val="lowerRoman"/>
      <w:lvlText w:val="%9."/>
      <w:lvlJc w:val="right"/>
      <w:pPr>
        <w:ind w:left="5688" w:hanging="180"/>
      </w:pPr>
    </w:lvl>
  </w:abstractNum>
  <w:abstractNum w:abstractNumId="2" w15:restartNumberingAfterBreak="0">
    <w:nsid w:val="53330E7C"/>
    <w:multiLevelType w:val="hybridMultilevel"/>
    <w:tmpl w:val="CC40280C"/>
    <w:lvl w:ilvl="0" w:tplc="A044CA9E">
      <w:start w:val="9"/>
      <w:numFmt w:val="upperLetter"/>
      <w:lvlText w:val="%1."/>
      <w:lvlJc w:val="left"/>
      <w:pPr>
        <w:ind w:left="-52" w:hanging="380"/>
      </w:pPr>
      <w:rPr>
        <w:rFonts w:hint="default"/>
        <w:b/>
      </w:rPr>
    </w:lvl>
    <w:lvl w:ilvl="1" w:tplc="040A0019" w:tentative="1">
      <w:start w:val="1"/>
      <w:numFmt w:val="lowerLetter"/>
      <w:lvlText w:val="%2."/>
      <w:lvlJc w:val="left"/>
      <w:pPr>
        <w:ind w:left="648" w:hanging="360"/>
      </w:pPr>
    </w:lvl>
    <w:lvl w:ilvl="2" w:tplc="040A001B" w:tentative="1">
      <w:start w:val="1"/>
      <w:numFmt w:val="lowerRoman"/>
      <w:lvlText w:val="%3."/>
      <w:lvlJc w:val="right"/>
      <w:pPr>
        <w:ind w:left="1368" w:hanging="180"/>
      </w:pPr>
    </w:lvl>
    <w:lvl w:ilvl="3" w:tplc="040A000F" w:tentative="1">
      <w:start w:val="1"/>
      <w:numFmt w:val="decimal"/>
      <w:lvlText w:val="%4."/>
      <w:lvlJc w:val="left"/>
      <w:pPr>
        <w:ind w:left="2088" w:hanging="360"/>
      </w:pPr>
    </w:lvl>
    <w:lvl w:ilvl="4" w:tplc="040A0019" w:tentative="1">
      <w:start w:val="1"/>
      <w:numFmt w:val="lowerLetter"/>
      <w:lvlText w:val="%5."/>
      <w:lvlJc w:val="left"/>
      <w:pPr>
        <w:ind w:left="2808" w:hanging="360"/>
      </w:pPr>
    </w:lvl>
    <w:lvl w:ilvl="5" w:tplc="040A001B" w:tentative="1">
      <w:start w:val="1"/>
      <w:numFmt w:val="lowerRoman"/>
      <w:lvlText w:val="%6."/>
      <w:lvlJc w:val="right"/>
      <w:pPr>
        <w:ind w:left="3528" w:hanging="180"/>
      </w:pPr>
    </w:lvl>
    <w:lvl w:ilvl="6" w:tplc="040A000F" w:tentative="1">
      <w:start w:val="1"/>
      <w:numFmt w:val="decimal"/>
      <w:lvlText w:val="%7."/>
      <w:lvlJc w:val="left"/>
      <w:pPr>
        <w:ind w:left="4248" w:hanging="360"/>
      </w:pPr>
    </w:lvl>
    <w:lvl w:ilvl="7" w:tplc="040A0019" w:tentative="1">
      <w:start w:val="1"/>
      <w:numFmt w:val="lowerLetter"/>
      <w:lvlText w:val="%8."/>
      <w:lvlJc w:val="left"/>
      <w:pPr>
        <w:ind w:left="4968" w:hanging="360"/>
      </w:pPr>
    </w:lvl>
    <w:lvl w:ilvl="8" w:tplc="040A001B" w:tentative="1">
      <w:start w:val="1"/>
      <w:numFmt w:val="lowerRoman"/>
      <w:lvlText w:val="%9."/>
      <w:lvlJc w:val="right"/>
      <w:pPr>
        <w:ind w:left="5688" w:hanging="180"/>
      </w:pPr>
    </w:lvl>
  </w:abstractNum>
  <w:abstractNum w:abstractNumId="3" w15:restartNumberingAfterBreak="0">
    <w:nsid w:val="5EA6578F"/>
    <w:multiLevelType w:val="hybridMultilevel"/>
    <w:tmpl w:val="E6A856D8"/>
    <w:lvl w:ilvl="0" w:tplc="7DCA1C66">
      <w:start w:val="2"/>
      <w:numFmt w:val="bullet"/>
      <w:lvlText w:val=""/>
      <w:lvlJc w:val="left"/>
      <w:pPr>
        <w:ind w:left="720" w:hanging="360"/>
      </w:pPr>
      <w:rPr>
        <w:rFonts w:ascii="Wingdings" w:eastAsia="Times New Roman" w:hAnsi="Wingdings"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669F325D"/>
    <w:multiLevelType w:val="hybridMultilevel"/>
    <w:tmpl w:val="E0906E5E"/>
    <w:lvl w:ilvl="0" w:tplc="C6343CA4">
      <w:start w:val="1"/>
      <w:numFmt w:val="lowerLetter"/>
      <w:lvlText w:val="%1)"/>
      <w:lvlJc w:val="left"/>
      <w:pPr>
        <w:ind w:left="-52" w:hanging="380"/>
      </w:pPr>
      <w:rPr>
        <w:rFonts w:hint="default"/>
        <w:b/>
      </w:rPr>
    </w:lvl>
    <w:lvl w:ilvl="1" w:tplc="040A0019" w:tentative="1">
      <w:start w:val="1"/>
      <w:numFmt w:val="lowerLetter"/>
      <w:lvlText w:val="%2."/>
      <w:lvlJc w:val="left"/>
      <w:pPr>
        <w:ind w:left="648" w:hanging="360"/>
      </w:pPr>
    </w:lvl>
    <w:lvl w:ilvl="2" w:tplc="040A001B" w:tentative="1">
      <w:start w:val="1"/>
      <w:numFmt w:val="lowerRoman"/>
      <w:lvlText w:val="%3."/>
      <w:lvlJc w:val="right"/>
      <w:pPr>
        <w:ind w:left="1368" w:hanging="180"/>
      </w:pPr>
    </w:lvl>
    <w:lvl w:ilvl="3" w:tplc="040A000F" w:tentative="1">
      <w:start w:val="1"/>
      <w:numFmt w:val="decimal"/>
      <w:lvlText w:val="%4."/>
      <w:lvlJc w:val="left"/>
      <w:pPr>
        <w:ind w:left="2088" w:hanging="360"/>
      </w:pPr>
    </w:lvl>
    <w:lvl w:ilvl="4" w:tplc="040A0019" w:tentative="1">
      <w:start w:val="1"/>
      <w:numFmt w:val="lowerLetter"/>
      <w:lvlText w:val="%5."/>
      <w:lvlJc w:val="left"/>
      <w:pPr>
        <w:ind w:left="2808" w:hanging="360"/>
      </w:pPr>
    </w:lvl>
    <w:lvl w:ilvl="5" w:tplc="040A001B" w:tentative="1">
      <w:start w:val="1"/>
      <w:numFmt w:val="lowerRoman"/>
      <w:lvlText w:val="%6."/>
      <w:lvlJc w:val="right"/>
      <w:pPr>
        <w:ind w:left="3528" w:hanging="180"/>
      </w:pPr>
    </w:lvl>
    <w:lvl w:ilvl="6" w:tplc="040A000F" w:tentative="1">
      <w:start w:val="1"/>
      <w:numFmt w:val="decimal"/>
      <w:lvlText w:val="%7."/>
      <w:lvlJc w:val="left"/>
      <w:pPr>
        <w:ind w:left="4248" w:hanging="360"/>
      </w:pPr>
    </w:lvl>
    <w:lvl w:ilvl="7" w:tplc="040A0019" w:tentative="1">
      <w:start w:val="1"/>
      <w:numFmt w:val="lowerLetter"/>
      <w:lvlText w:val="%8."/>
      <w:lvlJc w:val="left"/>
      <w:pPr>
        <w:ind w:left="4968" w:hanging="360"/>
      </w:pPr>
    </w:lvl>
    <w:lvl w:ilvl="8" w:tplc="040A001B" w:tentative="1">
      <w:start w:val="1"/>
      <w:numFmt w:val="lowerRoman"/>
      <w:lvlText w:val="%9."/>
      <w:lvlJc w:val="right"/>
      <w:pPr>
        <w:ind w:left="5688" w:hanging="180"/>
      </w:pPr>
    </w:lvl>
  </w:abstractNum>
  <w:abstractNum w:abstractNumId="5" w15:restartNumberingAfterBreak="0">
    <w:nsid w:val="6A714367"/>
    <w:multiLevelType w:val="hybridMultilevel"/>
    <w:tmpl w:val="531AA3B6"/>
    <w:lvl w:ilvl="0" w:tplc="265AC938">
      <w:start w:val="1"/>
      <w:numFmt w:val="upperLetter"/>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7B9"/>
    <w:rsid w:val="000A7623"/>
    <w:rsid w:val="001C17A9"/>
    <w:rsid w:val="00382672"/>
    <w:rsid w:val="008102E3"/>
    <w:rsid w:val="0081278E"/>
    <w:rsid w:val="00844ED0"/>
    <w:rsid w:val="00A80831"/>
    <w:rsid w:val="00B917B9"/>
    <w:rsid w:val="00D33798"/>
    <w:rsid w:val="00D97495"/>
    <w:rsid w:val="00D976A1"/>
    <w:rsid w:val="00DC23FB"/>
    <w:rsid w:val="00E649A6"/>
    <w:rsid w:val="00F509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D8CE6"/>
  <w15:chartTrackingRefBased/>
  <w15:docId w15:val="{D7F56F33-06E1-594E-AC83-59D6B34D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A7623"/>
    <w:pPr>
      <w:keepNext/>
      <w:keepLines/>
      <w:spacing w:before="120" w:after="120"/>
      <w:outlineLvl w:val="1"/>
    </w:pPr>
    <w:rPr>
      <w:rFonts w:asciiTheme="majorHAnsi" w:eastAsiaTheme="majorEastAsia" w:hAnsiTheme="majorHAnsi" w:cstheme="majorBidi"/>
      <w:b/>
      <w:b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17B9"/>
    <w:rPr>
      <w:color w:val="0563C1" w:themeColor="hyperlink"/>
      <w:u w:val="single"/>
    </w:rPr>
  </w:style>
  <w:style w:type="character" w:styleId="Mencinsinresolver">
    <w:name w:val="Unresolved Mention"/>
    <w:basedOn w:val="Fuentedeprrafopredeter"/>
    <w:uiPriority w:val="99"/>
    <w:semiHidden/>
    <w:unhideWhenUsed/>
    <w:rsid w:val="00B917B9"/>
    <w:rPr>
      <w:color w:val="605E5C"/>
      <w:shd w:val="clear" w:color="auto" w:fill="E1DFDD"/>
    </w:rPr>
  </w:style>
  <w:style w:type="paragraph" w:styleId="Prrafodelista">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PrrafodelistaCar"/>
    <w:uiPriority w:val="34"/>
    <w:qFormat/>
    <w:rsid w:val="00B917B9"/>
    <w:pPr>
      <w:ind w:left="720"/>
      <w:contextualSpacing/>
    </w:pPr>
  </w:style>
  <w:style w:type="character" w:customStyle="1" w:styleId="Ttulo2Car">
    <w:name w:val="Título 2 Car"/>
    <w:basedOn w:val="Fuentedeprrafopredeter"/>
    <w:link w:val="Ttulo2"/>
    <w:uiPriority w:val="9"/>
    <w:rsid w:val="000A7623"/>
    <w:rPr>
      <w:rFonts w:asciiTheme="majorHAnsi" w:eastAsiaTheme="majorEastAsia" w:hAnsiTheme="majorHAnsi" w:cstheme="majorBidi"/>
      <w:b/>
      <w:bCs/>
      <w:sz w:val="26"/>
      <w:szCs w:val="26"/>
      <w:lang w:eastAsia="es-ES"/>
    </w:rPr>
  </w:style>
  <w:style w:type="paragraph" w:styleId="NormalWeb">
    <w:name w:val="Normal (Web)"/>
    <w:basedOn w:val="Normal"/>
    <w:uiPriority w:val="99"/>
    <w:unhideWhenUsed/>
    <w:rsid w:val="000A7623"/>
    <w:pPr>
      <w:spacing w:before="100" w:beforeAutospacing="1" w:after="100" w:afterAutospacing="1"/>
    </w:pPr>
    <w:rPr>
      <w:rFonts w:ascii="Times New Roman" w:eastAsiaTheme="minorEastAsia" w:hAnsi="Times New Roman" w:cs="Times New Roman"/>
      <w:sz w:val="20"/>
      <w:szCs w:val="20"/>
      <w:lang w:eastAsia="es-ES"/>
    </w:rPr>
  </w:style>
  <w:style w:type="character" w:customStyle="1" w:styleId="PrrafodelistaCar">
    <w:name w:val="Párrafo de lista Car"/>
    <w:aliases w:val="Akapit z listą BS Car,Bullet1 Car,Bullets Car,Citation List Car,Ha Car,List Paragraph (numbered (a)) Car,List Paragraph1 Car,List_Paragraph Car,Liste 1 Car,Main numbered paragraph Car,Multilevel para_II Car,NUMBERED PARAGRAPH Car"/>
    <w:link w:val="Prrafodelista"/>
    <w:uiPriority w:val="34"/>
    <w:qFormat/>
    <w:locked/>
    <w:rsid w:val="000A7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33875">
      <w:bodyDiv w:val="1"/>
      <w:marLeft w:val="0"/>
      <w:marRight w:val="0"/>
      <w:marTop w:val="0"/>
      <w:marBottom w:val="0"/>
      <w:divBdr>
        <w:top w:val="none" w:sz="0" w:space="0" w:color="auto"/>
        <w:left w:val="none" w:sz="0" w:space="0" w:color="auto"/>
        <w:bottom w:val="none" w:sz="0" w:space="0" w:color="auto"/>
        <w:right w:val="none" w:sz="0" w:space="0" w:color="auto"/>
      </w:divBdr>
    </w:div>
    <w:div w:id="1470899528">
      <w:bodyDiv w:val="1"/>
      <w:marLeft w:val="0"/>
      <w:marRight w:val="0"/>
      <w:marTop w:val="0"/>
      <w:marBottom w:val="0"/>
      <w:divBdr>
        <w:top w:val="none" w:sz="0" w:space="0" w:color="auto"/>
        <w:left w:val="none" w:sz="0" w:space="0" w:color="auto"/>
        <w:bottom w:val="none" w:sz="0" w:space="0" w:color="auto"/>
        <w:right w:val="none" w:sz="0" w:space="0" w:color="auto"/>
      </w:divBdr>
    </w:div>
    <w:div w:id="1919825788">
      <w:bodyDiv w:val="1"/>
      <w:marLeft w:val="0"/>
      <w:marRight w:val="0"/>
      <w:marTop w:val="0"/>
      <w:marBottom w:val="0"/>
      <w:divBdr>
        <w:top w:val="none" w:sz="0" w:space="0" w:color="auto"/>
        <w:left w:val="none" w:sz="0" w:space="0" w:color="auto"/>
        <w:bottom w:val="none" w:sz="0" w:space="0" w:color="auto"/>
        <w:right w:val="none" w:sz="0" w:space="0" w:color="auto"/>
      </w:divBdr>
      <w:divsChild>
        <w:div w:id="23294451">
          <w:marLeft w:val="0"/>
          <w:marRight w:val="0"/>
          <w:marTop w:val="0"/>
          <w:marBottom w:val="101"/>
          <w:divBdr>
            <w:top w:val="none" w:sz="0" w:space="0" w:color="auto"/>
            <w:left w:val="none" w:sz="0" w:space="0" w:color="auto"/>
            <w:bottom w:val="none" w:sz="0" w:space="0" w:color="auto"/>
            <w:right w:val="none" w:sz="0" w:space="0" w:color="auto"/>
          </w:divBdr>
        </w:div>
        <w:div w:id="34550864">
          <w:marLeft w:val="0"/>
          <w:marRight w:val="0"/>
          <w:marTop w:val="0"/>
          <w:marBottom w:val="60"/>
          <w:divBdr>
            <w:top w:val="none" w:sz="0" w:space="0" w:color="auto"/>
            <w:left w:val="none" w:sz="0" w:space="0" w:color="auto"/>
            <w:bottom w:val="none" w:sz="0" w:space="0" w:color="auto"/>
            <w:right w:val="none" w:sz="0" w:space="0" w:color="auto"/>
          </w:divBdr>
        </w:div>
        <w:div w:id="36929488">
          <w:marLeft w:val="0"/>
          <w:marRight w:val="0"/>
          <w:marTop w:val="0"/>
          <w:marBottom w:val="60"/>
          <w:divBdr>
            <w:top w:val="none" w:sz="0" w:space="0" w:color="auto"/>
            <w:left w:val="none" w:sz="0" w:space="0" w:color="auto"/>
            <w:bottom w:val="none" w:sz="0" w:space="0" w:color="auto"/>
            <w:right w:val="none" w:sz="0" w:space="0" w:color="auto"/>
          </w:divBdr>
        </w:div>
        <w:div w:id="47455646">
          <w:marLeft w:val="0"/>
          <w:marRight w:val="0"/>
          <w:marTop w:val="0"/>
          <w:marBottom w:val="60"/>
          <w:divBdr>
            <w:top w:val="none" w:sz="0" w:space="0" w:color="auto"/>
            <w:left w:val="none" w:sz="0" w:space="0" w:color="auto"/>
            <w:bottom w:val="none" w:sz="0" w:space="0" w:color="auto"/>
            <w:right w:val="none" w:sz="0" w:space="0" w:color="auto"/>
          </w:divBdr>
        </w:div>
        <w:div w:id="53359704">
          <w:marLeft w:val="720"/>
          <w:marRight w:val="0"/>
          <w:marTop w:val="0"/>
          <w:marBottom w:val="101"/>
          <w:divBdr>
            <w:top w:val="none" w:sz="0" w:space="0" w:color="auto"/>
            <w:left w:val="none" w:sz="0" w:space="0" w:color="auto"/>
            <w:bottom w:val="none" w:sz="0" w:space="0" w:color="auto"/>
            <w:right w:val="none" w:sz="0" w:space="0" w:color="auto"/>
          </w:divBdr>
        </w:div>
        <w:div w:id="58677478">
          <w:marLeft w:val="0"/>
          <w:marRight w:val="0"/>
          <w:marTop w:val="0"/>
          <w:marBottom w:val="90"/>
          <w:divBdr>
            <w:top w:val="none" w:sz="0" w:space="0" w:color="auto"/>
            <w:left w:val="none" w:sz="0" w:space="0" w:color="auto"/>
            <w:bottom w:val="none" w:sz="0" w:space="0" w:color="auto"/>
            <w:right w:val="none" w:sz="0" w:space="0" w:color="auto"/>
          </w:divBdr>
        </w:div>
        <w:div w:id="65349254">
          <w:marLeft w:val="720"/>
          <w:marRight w:val="0"/>
          <w:marTop w:val="0"/>
          <w:marBottom w:val="101"/>
          <w:divBdr>
            <w:top w:val="none" w:sz="0" w:space="0" w:color="auto"/>
            <w:left w:val="none" w:sz="0" w:space="0" w:color="auto"/>
            <w:bottom w:val="none" w:sz="0" w:space="0" w:color="auto"/>
            <w:right w:val="none" w:sz="0" w:space="0" w:color="auto"/>
          </w:divBdr>
        </w:div>
        <w:div w:id="74866626">
          <w:marLeft w:val="0"/>
          <w:marRight w:val="0"/>
          <w:marTop w:val="0"/>
          <w:marBottom w:val="101"/>
          <w:divBdr>
            <w:top w:val="none" w:sz="0" w:space="0" w:color="auto"/>
            <w:left w:val="none" w:sz="0" w:space="0" w:color="auto"/>
            <w:bottom w:val="none" w:sz="0" w:space="0" w:color="auto"/>
            <w:right w:val="none" w:sz="0" w:space="0" w:color="auto"/>
          </w:divBdr>
        </w:div>
        <w:div w:id="82453920">
          <w:marLeft w:val="1080"/>
          <w:marRight w:val="0"/>
          <w:marTop w:val="0"/>
          <w:marBottom w:val="101"/>
          <w:divBdr>
            <w:top w:val="none" w:sz="0" w:space="0" w:color="auto"/>
            <w:left w:val="none" w:sz="0" w:space="0" w:color="auto"/>
            <w:bottom w:val="none" w:sz="0" w:space="0" w:color="auto"/>
            <w:right w:val="none" w:sz="0" w:space="0" w:color="auto"/>
          </w:divBdr>
        </w:div>
        <w:div w:id="84617257">
          <w:marLeft w:val="0"/>
          <w:marRight w:val="0"/>
          <w:marTop w:val="0"/>
          <w:marBottom w:val="101"/>
          <w:divBdr>
            <w:top w:val="none" w:sz="0" w:space="0" w:color="auto"/>
            <w:left w:val="none" w:sz="0" w:space="0" w:color="auto"/>
            <w:bottom w:val="none" w:sz="0" w:space="0" w:color="auto"/>
            <w:right w:val="none" w:sz="0" w:space="0" w:color="auto"/>
          </w:divBdr>
        </w:div>
        <w:div w:id="85997925">
          <w:marLeft w:val="0"/>
          <w:marRight w:val="0"/>
          <w:marTop w:val="0"/>
          <w:marBottom w:val="101"/>
          <w:divBdr>
            <w:top w:val="none" w:sz="0" w:space="0" w:color="auto"/>
            <w:left w:val="none" w:sz="0" w:space="0" w:color="auto"/>
            <w:bottom w:val="none" w:sz="0" w:space="0" w:color="auto"/>
            <w:right w:val="none" w:sz="0" w:space="0" w:color="auto"/>
          </w:divBdr>
        </w:div>
        <w:div w:id="88089186">
          <w:marLeft w:val="0"/>
          <w:marRight w:val="0"/>
          <w:marTop w:val="0"/>
          <w:marBottom w:val="101"/>
          <w:divBdr>
            <w:top w:val="none" w:sz="0" w:space="0" w:color="auto"/>
            <w:left w:val="none" w:sz="0" w:space="0" w:color="auto"/>
            <w:bottom w:val="none" w:sz="0" w:space="0" w:color="auto"/>
            <w:right w:val="none" w:sz="0" w:space="0" w:color="auto"/>
          </w:divBdr>
        </w:div>
        <w:div w:id="92552332">
          <w:marLeft w:val="0"/>
          <w:marRight w:val="0"/>
          <w:marTop w:val="0"/>
          <w:marBottom w:val="101"/>
          <w:divBdr>
            <w:top w:val="none" w:sz="0" w:space="0" w:color="auto"/>
            <w:left w:val="none" w:sz="0" w:space="0" w:color="auto"/>
            <w:bottom w:val="none" w:sz="0" w:space="0" w:color="auto"/>
            <w:right w:val="none" w:sz="0" w:space="0" w:color="auto"/>
          </w:divBdr>
        </w:div>
        <w:div w:id="123475532">
          <w:marLeft w:val="720"/>
          <w:marRight w:val="0"/>
          <w:marTop w:val="0"/>
          <w:marBottom w:val="60"/>
          <w:divBdr>
            <w:top w:val="none" w:sz="0" w:space="0" w:color="auto"/>
            <w:left w:val="none" w:sz="0" w:space="0" w:color="auto"/>
            <w:bottom w:val="none" w:sz="0" w:space="0" w:color="auto"/>
            <w:right w:val="none" w:sz="0" w:space="0" w:color="auto"/>
          </w:divBdr>
        </w:div>
        <w:div w:id="128668932">
          <w:marLeft w:val="720"/>
          <w:marRight w:val="0"/>
          <w:marTop w:val="0"/>
          <w:marBottom w:val="101"/>
          <w:divBdr>
            <w:top w:val="none" w:sz="0" w:space="0" w:color="auto"/>
            <w:left w:val="none" w:sz="0" w:space="0" w:color="auto"/>
            <w:bottom w:val="none" w:sz="0" w:space="0" w:color="auto"/>
            <w:right w:val="none" w:sz="0" w:space="0" w:color="auto"/>
          </w:divBdr>
        </w:div>
        <w:div w:id="130711324">
          <w:marLeft w:val="0"/>
          <w:marRight w:val="0"/>
          <w:marTop w:val="0"/>
          <w:marBottom w:val="101"/>
          <w:divBdr>
            <w:top w:val="none" w:sz="0" w:space="0" w:color="auto"/>
            <w:left w:val="none" w:sz="0" w:space="0" w:color="auto"/>
            <w:bottom w:val="none" w:sz="0" w:space="0" w:color="auto"/>
            <w:right w:val="none" w:sz="0" w:space="0" w:color="auto"/>
          </w:divBdr>
        </w:div>
        <w:div w:id="134877005">
          <w:marLeft w:val="0"/>
          <w:marRight w:val="0"/>
          <w:marTop w:val="0"/>
          <w:marBottom w:val="101"/>
          <w:divBdr>
            <w:top w:val="none" w:sz="0" w:space="0" w:color="auto"/>
            <w:left w:val="none" w:sz="0" w:space="0" w:color="auto"/>
            <w:bottom w:val="none" w:sz="0" w:space="0" w:color="auto"/>
            <w:right w:val="none" w:sz="0" w:space="0" w:color="auto"/>
          </w:divBdr>
        </w:div>
        <w:div w:id="139230504">
          <w:marLeft w:val="0"/>
          <w:marRight w:val="0"/>
          <w:marTop w:val="0"/>
          <w:marBottom w:val="101"/>
          <w:divBdr>
            <w:top w:val="none" w:sz="0" w:space="0" w:color="auto"/>
            <w:left w:val="none" w:sz="0" w:space="0" w:color="auto"/>
            <w:bottom w:val="none" w:sz="0" w:space="0" w:color="auto"/>
            <w:right w:val="none" w:sz="0" w:space="0" w:color="auto"/>
          </w:divBdr>
        </w:div>
        <w:div w:id="148641300">
          <w:marLeft w:val="0"/>
          <w:marRight w:val="0"/>
          <w:marTop w:val="0"/>
          <w:marBottom w:val="101"/>
          <w:divBdr>
            <w:top w:val="none" w:sz="0" w:space="0" w:color="auto"/>
            <w:left w:val="none" w:sz="0" w:space="0" w:color="auto"/>
            <w:bottom w:val="none" w:sz="0" w:space="0" w:color="auto"/>
            <w:right w:val="none" w:sz="0" w:space="0" w:color="auto"/>
          </w:divBdr>
        </w:div>
        <w:div w:id="150678037">
          <w:marLeft w:val="0"/>
          <w:marRight w:val="0"/>
          <w:marTop w:val="0"/>
          <w:marBottom w:val="101"/>
          <w:divBdr>
            <w:top w:val="none" w:sz="0" w:space="0" w:color="auto"/>
            <w:left w:val="none" w:sz="0" w:space="0" w:color="auto"/>
            <w:bottom w:val="none" w:sz="0" w:space="0" w:color="auto"/>
            <w:right w:val="none" w:sz="0" w:space="0" w:color="auto"/>
          </w:divBdr>
        </w:div>
        <w:div w:id="152990851">
          <w:marLeft w:val="1080"/>
          <w:marRight w:val="0"/>
          <w:marTop w:val="0"/>
          <w:marBottom w:val="101"/>
          <w:divBdr>
            <w:top w:val="none" w:sz="0" w:space="0" w:color="auto"/>
            <w:left w:val="none" w:sz="0" w:space="0" w:color="auto"/>
            <w:bottom w:val="none" w:sz="0" w:space="0" w:color="auto"/>
            <w:right w:val="none" w:sz="0" w:space="0" w:color="auto"/>
          </w:divBdr>
        </w:div>
        <w:div w:id="156001729">
          <w:marLeft w:val="0"/>
          <w:marRight w:val="0"/>
          <w:marTop w:val="0"/>
          <w:marBottom w:val="60"/>
          <w:divBdr>
            <w:top w:val="none" w:sz="0" w:space="0" w:color="auto"/>
            <w:left w:val="none" w:sz="0" w:space="0" w:color="auto"/>
            <w:bottom w:val="none" w:sz="0" w:space="0" w:color="auto"/>
            <w:right w:val="none" w:sz="0" w:space="0" w:color="auto"/>
          </w:divBdr>
        </w:div>
        <w:div w:id="168373253">
          <w:marLeft w:val="0"/>
          <w:marRight w:val="0"/>
          <w:marTop w:val="0"/>
          <w:marBottom w:val="60"/>
          <w:divBdr>
            <w:top w:val="none" w:sz="0" w:space="0" w:color="auto"/>
            <w:left w:val="none" w:sz="0" w:space="0" w:color="auto"/>
            <w:bottom w:val="none" w:sz="0" w:space="0" w:color="auto"/>
            <w:right w:val="none" w:sz="0" w:space="0" w:color="auto"/>
          </w:divBdr>
        </w:div>
        <w:div w:id="193733902">
          <w:marLeft w:val="0"/>
          <w:marRight w:val="0"/>
          <w:marTop w:val="0"/>
          <w:marBottom w:val="60"/>
          <w:divBdr>
            <w:top w:val="none" w:sz="0" w:space="0" w:color="auto"/>
            <w:left w:val="none" w:sz="0" w:space="0" w:color="auto"/>
            <w:bottom w:val="none" w:sz="0" w:space="0" w:color="auto"/>
            <w:right w:val="none" w:sz="0" w:space="0" w:color="auto"/>
          </w:divBdr>
        </w:div>
        <w:div w:id="207644831">
          <w:marLeft w:val="0"/>
          <w:marRight w:val="0"/>
          <w:marTop w:val="0"/>
          <w:marBottom w:val="90"/>
          <w:divBdr>
            <w:top w:val="none" w:sz="0" w:space="0" w:color="auto"/>
            <w:left w:val="none" w:sz="0" w:space="0" w:color="auto"/>
            <w:bottom w:val="none" w:sz="0" w:space="0" w:color="auto"/>
            <w:right w:val="none" w:sz="0" w:space="0" w:color="auto"/>
          </w:divBdr>
        </w:div>
        <w:div w:id="221911149">
          <w:marLeft w:val="0"/>
          <w:marRight w:val="0"/>
          <w:marTop w:val="0"/>
          <w:marBottom w:val="101"/>
          <w:divBdr>
            <w:top w:val="none" w:sz="0" w:space="0" w:color="auto"/>
            <w:left w:val="none" w:sz="0" w:space="0" w:color="auto"/>
            <w:bottom w:val="none" w:sz="0" w:space="0" w:color="auto"/>
            <w:right w:val="none" w:sz="0" w:space="0" w:color="auto"/>
          </w:divBdr>
        </w:div>
        <w:div w:id="225605967">
          <w:marLeft w:val="0"/>
          <w:marRight w:val="0"/>
          <w:marTop w:val="0"/>
          <w:marBottom w:val="101"/>
          <w:divBdr>
            <w:top w:val="none" w:sz="0" w:space="0" w:color="auto"/>
            <w:left w:val="none" w:sz="0" w:space="0" w:color="auto"/>
            <w:bottom w:val="none" w:sz="0" w:space="0" w:color="auto"/>
            <w:right w:val="none" w:sz="0" w:space="0" w:color="auto"/>
          </w:divBdr>
        </w:div>
        <w:div w:id="228075689">
          <w:marLeft w:val="0"/>
          <w:marRight w:val="0"/>
          <w:marTop w:val="0"/>
          <w:marBottom w:val="60"/>
          <w:divBdr>
            <w:top w:val="none" w:sz="0" w:space="0" w:color="auto"/>
            <w:left w:val="none" w:sz="0" w:space="0" w:color="auto"/>
            <w:bottom w:val="none" w:sz="0" w:space="0" w:color="auto"/>
            <w:right w:val="none" w:sz="0" w:space="0" w:color="auto"/>
          </w:divBdr>
        </w:div>
        <w:div w:id="229730653">
          <w:marLeft w:val="0"/>
          <w:marRight w:val="0"/>
          <w:marTop w:val="0"/>
          <w:marBottom w:val="101"/>
          <w:divBdr>
            <w:top w:val="none" w:sz="0" w:space="0" w:color="auto"/>
            <w:left w:val="none" w:sz="0" w:space="0" w:color="auto"/>
            <w:bottom w:val="none" w:sz="0" w:space="0" w:color="auto"/>
            <w:right w:val="none" w:sz="0" w:space="0" w:color="auto"/>
          </w:divBdr>
        </w:div>
        <w:div w:id="230966416">
          <w:marLeft w:val="720"/>
          <w:marRight w:val="0"/>
          <w:marTop w:val="0"/>
          <w:marBottom w:val="90"/>
          <w:divBdr>
            <w:top w:val="none" w:sz="0" w:space="0" w:color="auto"/>
            <w:left w:val="none" w:sz="0" w:space="0" w:color="auto"/>
            <w:bottom w:val="none" w:sz="0" w:space="0" w:color="auto"/>
            <w:right w:val="none" w:sz="0" w:space="0" w:color="auto"/>
          </w:divBdr>
        </w:div>
        <w:div w:id="233125402">
          <w:marLeft w:val="0"/>
          <w:marRight w:val="0"/>
          <w:marTop w:val="0"/>
          <w:marBottom w:val="101"/>
          <w:divBdr>
            <w:top w:val="none" w:sz="0" w:space="0" w:color="auto"/>
            <w:left w:val="none" w:sz="0" w:space="0" w:color="auto"/>
            <w:bottom w:val="none" w:sz="0" w:space="0" w:color="auto"/>
            <w:right w:val="none" w:sz="0" w:space="0" w:color="auto"/>
          </w:divBdr>
        </w:div>
        <w:div w:id="240798819">
          <w:marLeft w:val="1080"/>
          <w:marRight w:val="0"/>
          <w:marTop w:val="0"/>
          <w:marBottom w:val="101"/>
          <w:divBdr>
            <w:top w:val="none" w:sz="0" w:space="0" w:color="auto"/>
            <w:left w:val="none" w:sz="0" w:space="0" w:color="auto"/>
            <w:bottom w:val="none" w:sz="0" w:space="0" w:color="auto"/>
            <w:right w:val="none" w:sz="0" w:space="0" w:color="auto"/>
          </w:divBdr>
        </w:div>
        <w:div w:id="253633350">
          <w:marLeft w:val="0"/>
          <w:marRight w:val="0"/>
          <w:marTop w:val="0"/>
          <w:marBottom w:val="101"/>
          <w:divBdr>
            <w:top w:val="none" w:sz="0" w:space="0" w:color="auto"/>
            <w:left w:val="none" w:sz="0" w:space="0" w:color="auto"/>
            <w:bottom w:val="none" w:sz="0" w:space="0" w:color="auto"/>
            <w:right w:val="none" w:sz="0" w:space="0" w:color="auto"/>
          </w:divBdr>
        </w:div>
        <w:div w:id="254480127">
          <w:marLeft w:val="0"/>
          <w:marRight w:val="0"/>
          <w:marTop w:val="0"/>
          <w:marBottom w:val="101"/>
          <w:divBdr>
            <w:top w:val="none" w:sz="0" w:space="0" w:color="auto"/>
            <w:left w:val="none" w:sz="0" w:space="0" w:color="auto"/>
            <w:bottom w:val="none" w:sz="0" w:space="0" w:color="auto"/>
            <w:right w:val="none" w:sz="0" w:space="0" w:color="auto"/>
          </w:divBdr>
        </w:div>
        <w:div w:id="256911094">
          <w:marLeft w:val="0"/>
          <w:marRight w:val="0"/>
          <w:marTop w:val="0"/>
          <w:marBottom w:val="90"/>
          <w:divBdr>
            <w:top w:val="none" w:sz="0" w:space="0" w:color="auto"/>
            <w:left w:val="none" w:sz="0" w:space="0" w:color="auto"/>
            <w:bottom w:val="none" w:sz="0" w:space="0" w:color="auto"/>
            <w:right w:val="none" w:sz="0" w:space="0" w:color="auto"/>
          </w:divBdr>
        </w:div>
        <w:div w:id="268664699">
          <w:marLeft w:val="0"/>
          <w:marRight w:val="0"/>
          <w:marTop w:val="0"/>
          <w:marBottom w:val="101"/>
          <w:divBdr>
            <w:top w:val="none" w:sz="0" w:space="0" w:color="auto"/>
            <w:left w:val="none" w:sz="0" w:space="0" w:color="auto"/>
            <w:bottom w:val="none" w:sz="0" w:space="0" w:color="auto"/>
            <w:right w:val="none" w:sz="0" w:space="0" w:color="auto"/>
          </w:divBdr>
        </w:div>
        <w:div w:id="301423314">
          <w:marLeft w:val="0"/>
          <w:marRight w:val="0"/>
          <w:marTop w:val="0"/>
          <w:marBottom w:val="90"/>
          <w:divBdr>
            <w:top w:val="none" w:sz="0" w:space="0" w:color="auto"/>
            <w:left w:val="none" w:sz="0" w:space="0" w:color="auto"/>
            <w:bottom w:val="none" w:sz="0" w:space="0" w:color="auto"/>
            <w:right w:val="none" w:sz="0" w:space="0" w:color="auto"/>
          </w:divBdr>
        </w:div>
        <w:div w:id="309483721">
          <w:marLeft w:val="0"/>
          <w:marRight w:val="0"/>
          <w:marTop w:val="0"/>
          <w:marBottom w:val="101"/>
          <w:divBdr>
            <w:top w:val="none" w:sz="0" w:space="0" w:color="auto"/>
            <w:left w:val="none" w:sz="0" w:space="0" w:color="auto"/>
            <w:bottom w:val="none" w:sz="0" w:space="0" w:color="auto"/>
            <w:right w:val="none" w:sz="0" w:space="0" w:color="auto"/>
          </w:divBdr>
        </w:div>
        <w:div w:id="326447423">
          <w:marLeft w:val="0"/>
          <w:marRight w:val="0"/>
          <w:marTop w:val="0"/>
          <w:marBottom w:val="101"/>
          <w:divBdr>
            <w:top w:val="none" w:sz="0" w:space="0" w:color="auto"/>
            <w:left w:val="none" w:sz="0" w:space="0" w:color="auto"/>
            <w:bottom w:val="none" w:sz="0" w:space="0" w:color="auto"/>
            <w:right w:val="none" w:sz="0" w:space="0" w:color="auto"/>
          </w:divBdr>
        </w:div>
        <w:div w:id="391121547">
          <w:marLeft w:val="0"/>
          <w:marRight w:val="0"/>
          <w:marTop w:val="0"/>
          <w:marBottom w:val="101"/>
          <w:divBdr>
            <w:top w:val="none" w:sz="0" w:space="0" w:color="auto"/>
            <w:left w:val="none" w:sz="0" w:space="0" w:color="auto"/>
            <w:bottom w:val="none" w:sz="0" w:space="0" w:color="auto"/>
            <w:right w:val="none" w:sz="0" w:space="0" w:color="auto"/>
          </w:divBdr>
        </w:div>
        <w:div w:id="395476620">
          <w:marLeft w:val="0"/>
          <w:marRight w:val="0"/>
          <w:marTop w:val="0"/>
          <w:marBottom w:val="101"/>
          <w:divBdr>
            <w:top w:val="none" w:sz="0" w:space="0" w:color="auto"/>
            <w:left w:val="none" w:sz="0" w:space="0" w:color="auto"/>
            <w:bottom w:val="none" w:sz="0" w:space="0" w:color="auto"/>
            <w:right w:val="none" w:sz="0" w:space="0" w:color="auto"/>
          </w:divBdr>
        </w:div>
        <w:div w:id="409470127">
          <w:marLeft w:val="0"/>
          <w:marRight w:val="0"/>
          <w:marTop w:val="0"/>
          <w:marBottom w:val="101"/>
          <w:divBdr>
            <w:top w:val="none" w:sz="0" w:space="0" w:color="auto"/>
            <w:left w:val="none" w:sz="0" w:space="0" w:color="auto"/>
            <w:bottom w:val="none" w:sz="0" w:space="0" w:color="auto"/>
            <w:right w:val="none" w:sz="0" w:space="0" w:color="auto"/>
          </w:divBdr>
        </w:div>
        <w:div w:id="426076617">
          <w:marLeft w:val="0"/>
          <w:marRight w:val="0"/>
          <w:marTop w:val="0"/>
          <w:marBottom w:val="101"/>
          <w:divBdr>
            <w:top w:val="none" w:sz="0" w:space="0" w:color="auto"/>
            <w:left w:val="none" w:sz="0" w:space="0" w:color="auto"/>
            <w:bottom w:val="none" w:sz="0" w:space="0" w:color="auto"/>
            <w:right w:val="none" w:sz="0" w:space="0" w:color="auto"/>
          </w:divBdr>
        </w:div>
        <w:div w:id="426729747">
          <w:marLeft w:val="0"/>
          <w:marRight w:val="0"/>
          <w:marTop w:val="0"/>
          <w:marBottom w:val="101"/>
          <w:divBdr>
            <w:top w:val="none" w:sz="0" w:space="0" w:color="auto"/>
            <w:left w:val="none" w:sz="0" w:space="0" w:color="auto"/>
            <w:bottom w:val="none" w:sz="0" w:space="0" w:color="auto"/>
            <w:right w:val="none" w:sz="0" w:space="0" w:color="auto"/>
          </w:divBdr>
        </w:div>
        <w:div w:id="434714558">
          <w:marLeft w:val="0"/>
          <w:marRight w:val="0"/>
          <w:marTop w:val="0"/>
          <w:marBottom w:val="90"/>
          <w:divBdr>
            <w:top w:val="none" w:sz="0" w:space="0" w:color="auto"/>
            <w:left w:val="none" w:sz="0" w:space="0" w:color="auto"/>
            <w:bottom w:val="none" w:sz="0" w:space="0" w:color="auto"/>
            <w:right w:val="none" w:sz="0" w:space="0" w:color="auto"/>
          </w:divBdr>
        </w:div>
        <w:div w:id="435489877">
          <w:marLeft w:val="720"/>
          <w:marRight w:val="0"/>
          <w:marTop w:val="0"/>
          <w:marBottom w:val="101"/>
          <w:divBdr>
            <w:top w:val="none" w:sz="0" w:space="0" w:color="auto"/>
            <w:left w:val="none" w:sz="0" w:space="0" w:color="auto"/>
            <w:bottom w:val="none" w:sz="0" w:space="0" w:color="auto"/>
            <w:right w:val="none" w:sz="0" w:space="0" w:color="auto"/>
          </w:divBdr>
        </w:div>
        <w:div w:id="445151207">
          <w:marLeft w:val="720"/>
          <w:marRight w:val="0"/>
          <w:marTop w:val="0"/>
          <w:marBottom w:val="60"/>
          <w:divBdr>
            <w:top w:val="none" w:sz="0" w:space="0" w:color="auto"/>
            <w:left w:val="none" w:sz="0" w:space="0" w:color="auto"/>
            <w:bottom w:val="none" w:sz="0" w:space="0" w:color="auto"/>
            <w:right w:val="none" w:sz="0" w:space="0" w:color="auto"/>
          </w:divBdr>
        </w:div>
        <w:div w:id="450637510">
          <w:marLeft w:val="720"/>
          <w:marRight w:val="0"/>
          <w:marTop w:val="0"/>
          <w:marBottom w:val="101"/>
          <w:divBdr>
            <w:top w:val="none" w:sz="0" w:space="0" w:color="auto"/>
            <w:left w:val="none" w:sz="0" w:space="0" w:color="auto"/>
            <w:bottom w:val="none" w:sz="0" w:space="0" w:color="auto"/>
            <w:right w:val="none" w:sz="0" w:space="0" w:color="auto"/>
          </w:divBdr>
        </w:div>
        <w:div w:id="454981759">
          <w:marLeft w:val="0"/>
          <w:marRight w:val="0"/>
          <w:marTop w:val="0"/>
          <w:marBottom w:val="101"/>
          <w:divBdr>
            <w:top w:val="none" w:sz="0" w:space="0" w:color="auto"/>
            <w:left w:val="none" w:sz="0" w:space="0" w:color="auto"/>
            <w:bottom w:val="none" w:sz="0" w:space="0" w:color="auto"/>
            <w:right w:val="none" w:sz="0" w:space="0" w:color="auto"/>
          </w:divBdr>
        </w:div>
        <w:div w:id="458693045">
          <w:marLeft w:val="0"/>
          <w:marRight w:val="0"/>
          <w:marTop w:val="0"/>
          <w:marBottom w:val="101"/>
          <w:divBdr>
            <w:top w:val="none" w:sz="0" w:space="0" w:color="auto"/>
            <w:left w:val="none" w:sz="0" w:space="0" w:color="auto"/>
            <w:bottom w:val="none" w:sz="0" w:space="0" w:color="auto"/>
            <w:right w:val="none" w:sz="0" w:space="0" w:color="auto"/>
          </w:divBdr>
        </w:div>
        <w:div w:id="463887286">
          <w:marLeft w:val="0"/>
          <w:marRight w:val="0"/>
          <w:marTop w:val="0"/>
          <w:marBottom w:val="101"/>
          <w:divBdr>
            <w:top w:val="none" w:sz="0" w:space="0" w:color="auto"/>
            <w:left w:val="none" w:sz="0" w:space="0" w:color="auto"/>
            <w:bottom w:val="none" w:sz="0" w:space="0" w:color="auto"/>
            <w:right w:val="none" w:sz="0" w:space="0" w:color="auto"/>
          </w:divBdr>
        </w:div>
        <w:div w:id="476191185">
          <w:marLeft w:val="0"/>
          <w:marRight w:val="0"/>
          <w:marTop w:val="0"/>
          <w:marBottom w:val="101"/>
          <w:divBdr>
            <w:top w:val="none" w:sz="0" w:space="0" w:color="auto"/>
            <w:left w:val="none" w:sz="0" w:space="0" w:color="auto"/>
            <w:bottom w:val="none" w:sz="0" w:space="0" w:color="auto"/>
            <w:right w:val="none" w:sz="0" w:space="0" w:color="auto"/>
          </w:divBdr>
        </w:div>
        <w:div w:id="481122381">
          <w:marLeft w:val="0"/>
          <w:marRight w:val="0"/>
          <w:marTop w:val="0"/>
          <w:marBottom w:val="101"/>
          <w:divBdr>
            <w:top w:val="none" w:sz="0" w:space="0" w:color="auto"/>
            <w:left w:val="none" w:sz="0" w:space="0" w:color="auto"/>
            <w:bottom w:val="none" w:sz="0" w:space="0" w:color="auto"/>
            <w:right w:val="none" w:sz="0" w:space="0" w:color="auto"/>
          </w:divBdr>
        </w:div>
        <w:div w:id="484011756">
          <w:marLeft w:val="0"/>
          <w:marRight w:val="0"/>
          <w:marTop w:val="0"/>
          <w:marBottom w:val="101"/>
          <w:divBdr>
            <w:top w:val="none" w:sz="0" w:space="0" w:color="auto"/>
            <w:left w:val="none" w:sz="0" w:space="0" w:color="auto"/>
            <w:bottom w:val="none" w:sz="0" w:space="0" w:color="auto"/>
            <w:right w:val="none" w:sz="0" w:space="0" w:color="auto"/>
          </w:divBdr>
        </w:div>
        <w:div w:id="491607182">
          <w:marLeft w:val="0"/>
          <w:marRight w:val="0"/>
          <w:marTop w:val="0"/>
          <w:marBottom w:val="101"/>
          <w:divBdr>
            <w:top w:val="none" w:sz="0" w:space="0" w:color="auto"/>
            <w:left w:val="none" w:sz="0" w:space="0" w:color="auto"/>
            <w:bottom w:val="none" w:sz="0" w:space="0" w:color="auto"/>
            <w:right w:val="none" w:sz="0" w:space="0" w:color="auto"/>
          </w:divBdr>
        </w:div>
        <w:div w:id="496044469">
          <w:marLeft w:val="0"/>
          <w:marRight w:val="0"/>
          <w:marTop w:val="0"/>
          <w:marBottom w:val="101"/>
          <w:divBdr>
            <w:top w:val="none" w:sz="0" w:space="0" w:color="auto"/>
            <w:left w:val="none" w:sz="0" w:space="0" w:color="auto"/>
            <w:bottom w:val="none" w:sz="0" w:space="0" w:color="auto"/>
            <w:right w:val="none" w:sz="0" w:space="0" w:color="auto"/>
          </w:divBdr>
        </w:div>
        <w:div w:id="500584343">
          <w:marLeft w:val="0"/>
          <w:marRight w:val="0"/>
          <w:marTop w:val="0"/>
          <w:marBottom w:val="101"/>
          <w:divBdr>
            <w:top w:val="none" w:sz="0" w:space="0" w:color="auto"/>
            <w:left w:val="none" w:sz="0" w:space="0" w:color="auto"/>
            <w:bottom w:val="none" w:sz="0" w:space="0" w:color="auto"/>
            <w:right w:val="none" w:sz="0" w:space="0" w:color="auto"/>
          </w:divBdr>
        </w:div>
        <w:div w:id="507403778">
          <w:marLeft w:val="720"/>
          <w:marRight w:val="0"/>
          <w:marTop w:val="0"/>
          <w:marBottom w:val="101"/>
          <w:divBdr>
            <w:top w:val="none" w:sz="0" w:space="0" w:color="auto"/>
            <w:left w:val="none" w:sz="0" w:space="0" w:color="auto"/>
            <w:bottom w:val="none" w:sz="0" w:space="0" w:color="auto"/>
            <w:right w:val="none" w:sz="0" w:space="0" w:color="auto"/>
          </w:divBdr>
        </w:div>
        <w:div w:id="530000100">
          <w:marLeft w:val="720"/>
          <w:marRight w:val="0"/>
          <w:marTop w:val="0"/>
          <w:marBottom w:val="101"/>
          <w:divBdr>
            <w:top w:val="none" w:sz="0" w:space="0" w:color="auto"/>
            <w:left w:val="none" w:sz="0" w:space="0" w:color="auto"/>
            <w:bottom w:val="none" w:sz="0" w:space="0" w:color="auto"/>
            <w:right w:val="none" w:sz="0" w:space="0" w:color="auto"/>
          </w:divBdr>
        </w:div>
        <w:div w:id="533470110">
          <w:marLeft w:val="720"/>
          <w:marRight w:val="0"/>
          <w:marTop w:val="0"/>
          <w:marBottom w:val="101"/>
          <w:divBdr>
            <w:top w:val="none" w:sz="0" w:space="0" w:color="auto"/>
            <w:left w:val="none" w:sz="0" w:space="0" w:color="auto"/>
            <w:bottom w:val="none" w:sz="0" w:space="0" w:color="auto"/>
            <w:right w:val="none" w:sz="0" w:space="0" w:color="auto"/>
          </w:divBdr>
        </w:div>
        <w:div w:id="558397655">
          <w:marLeft w:val="0"/>
          <w:marRight w:val="0"/>
          <w:marTop w:val="0"/>
          <w:marBottom w:val="60"/>
          <w:divBdr>
            <w:top w:val="none" w:sz="0" w:space="0" w:color="auto"/>
            <w:left w:val="none" w:sz="0" w:space="0" w:color="auto"/>
            <w:bottom w:val="none" w:sz="0" w:space="0" w:color="auto"/>
            <w:right w:val="none" w:sz="0" w:space="0" w:color="auto"/>
          </w:divBdr>
        </w:div>
        <w:div w:id="560793828">
          <w:marLeft w:val="0"/>
          <w:marRight w:val="0"/>
          <w:marTop w:val="0"/>
          <w:marBottom w:val="60"/>
          <w:divBdr>
            <w:top w:val="none" w:sz="0" w:space="0" w:color="auto"/>
            <w:left w:val="none" w:sz="0" w:space="0" w:color="auto"/>
            <w:bottom w:val="none" w:sz="0" w:space="0" w:color="auto"/>
            <w:right w:val="none" w:sz="0" w:space="0" w:color="auto"/>
          </w:divBdr>
        </w:div>
        <w:div w:id="574127568">
          <w:marLeft w:val="0"/>
          <w:marRight w:val="0"/>
          <w:marTop w:val="0"/>
          <w:marBottom w:val="90"/>
          <w:divBdr>
            <w:top w:val="none" w:sz="0" w:space="0" w:color="auto"/>
            <w:left w:val="none" w:sz="0" w:space="0" w:color="auto"/>
            <w:bottom w:val="none" w:sz="0" w:space="0" w:color="auto"/>
            <w:right w:val="none" w:sz="0" w:space="0" w:color="auto"/>
          </w:divBdr>
        </w:div>
        <w:div w:id="574894682">
          <w:marLeft w:val="0"/>
          <w:marRight w:val="0"/>
          <w:marTop w:val="0"/>
          <w:marBottom w:val="60"/>
          <w:divBdr>
            <w:top w:val="none" w:sz="0" w:space="0" w:color="auto"/>
            <w:left w:val="none" w:sz="0" w:space="0" w:color="auto"/>
            <w:bottom w:val="none" w:sz="0" w:space="0" w:color="auto"/>
            <w:right w:val="none" w:sz="0" w:space="0" w:color="auto"/>
          </w:divBdr>
        </w:div>
        <w:div w:id="581375610">
          <w:marLeft w:val="0"/>
          <w:marRight w:val="0"/>
          <w:marTop w:val="0"/>
          <w:marBottom w:val="101"/>
          <w:divBdr>
            <w:top w:val="none" w:sz="0" w:space="0" w:color="auto"/>
            <w:left w:val="none" w:sz="0" w:space="0" w:color="auto"/>
            <w:bottom w:val="none" w:sz="0" w:space="0" w:color="auto"/>
            <w:right w:val="none" w:sz="0" w:space="0" w:color="auto"/>
          </w:divBdr>
        </w:div>
        <w:div w:id="584875779">
          <w:marLeft w:val="0"/>
          <w:marRight w:val="0"/>
          <w:marTop w:val="0"/>
          <w:marBottom w:val="101"/>
          <w:divBdr>
            <w:top w:val="none" w:sz="0" w:space="0" w:color="auto"/>
            <w:left w:val="none" w:sz="0" w:space="0" w:color="auto"/>
            <w:bottom w:val="none" w:sz="0" w:space="0" w:color="auto"/>
            <w:right w:val="none" w:sz="0" w:space="0" w:color="auto"/>
          </w:divBdr>
        </w:div>
        <w:div w:id="599065589">
          <w:marLeft w:val="0"/>
          <w:marRight w:val="0"/>
          <w:marTop w:val="0"/>
          <w:marBottom w:val="101"/>
          <w:divBdr>
            <w:top w:val="none" w:sz="0" w:space="0" w:color="auto"/>
            <w:left w:val="none" w:sz="0" w:space="0" w:color="auto"/>
            <w:bottom w:val="none" w:sz="0" w:space="0" w:color="auto"/>
            <w:right w:val="none" w:sz="0" w:space="0" w:color="auto"/>
          </w:divBdr>
        </w:div>
        <w:div w:id="601034723">
          <w:marLeft w:val="720"/>
          <w:marRight w:val="0"/>
          <w:marTop w:val="0"/>
          <w:marBottom w:val="90"/>
          <w:divBdr>
            <w:top w:val="none" w:sz="0" w:space="0" w:color="auto"/>
            <w:left w:val="none" w:sz="0" w:space="0" w:color="auto"/>
            <w:bottom w:val="none" w:sz="0" w:space="0" w:color="auto"/>
            <w:right w:val="none" w:sz="0" w:space="0" w:color="auto"/>
          </w:divBdr>
        </w:div>
        <w:div w:id="606350767">
          <w:marLeft w:val="0"/>
          <w:marRight w:val="0"/>
          <w:marTop w:val="0"/>
          <w:marBottom w:val="200"/>
          <w:divBdr>
            <w:top w:val="none" w:sz="0" w:space="0" w:color="auto"/>
            <w:left w:val="none" w:sz="0" w:space="0" w:color="auto"/>
            <w:bottom w:val="none" w:sz="0" w:space="0" w:color="auto"/>
            <w:right w:val="none" w:sz="0" w:space="0" w:color="auto"/>
          </w:divBdr>
        </w:div>
        <w:div w:id="607809810">
          <w:marLeft w:val="720"/>
          <w:marRight w:val="0"/>
          <w:marTop w:val="0"/>
          <w:marBottom w:val="101"/>
          <w:divBdr>
            <w:top w:val="none" w:sz="0" w:space="0" w:color="auto"/>
            <w:left w:val="none" w:sz="0" w:space="0" w:color="auto"/>
            <w:bottom w:val="none" w:sz="0" w:space="0" w:color="auto"/>
            <w:right w:val="none" w:sz="0" w:space="0" w:color="auto"/>
          </w:divBdr>
        </w:div>
        <w:div w:id="613944293">
          <w:marLeft w:val="720"/>
          <w:marRight w:val="0"/>
          <w:marTop w:val="0"/>
          <w:marBottom w:val="101"/>
          <w:divBdr>
            <w:top w:val="none" w:sz="0" w:space="0" w:color="auto"/>
            <w:left w:val="none" w:sz="0" w:space="0" w:color="auto"/>
            <w:bottom w:val="none" w:sz="0" w:space="0" w:color="auto"/>
            <w:right w:val="none" w:sz="0" w:space="0" w:color="auto"/>
          </w:divBdr>
        </w:div>
        <w:div w:id="625627611">
          <w:marLeft w:val="720"/>
          <w:marRight w:val="0"/>
          <w:marTop w:val="0"/>
          <w:marBottom w:val="101"/>
          <w:divBdr>
            <w:top w:val="none" w:sz="0" w:space="0" w:color="auto"/>
            <w:left w:val="none" w:sz="0" w:space="0" w:color="auto"/>
            <w:bottom w:val="none" w:sz="0" w:space="0" w:color="auto"/>
            <w:right w:val="none" w:sz="0" w:space="0" w:color="auto"/>
          </w:divBdr>
        </w:div>
        <w:div w:id="631714356">
          <w:marLeft w:val="0"/>
          <w:marRight w:val="0"/>
          <w:marTop w:val="0"/>
          <w:marBottom w:val="60"/>
          <w:divBdr>
            <w:top w:val="none" w:sz="0" w:space="0" w:color="auto"/>
            <w:left w:val="none" w:sz="0" w:space="0" w:color="auto"/>
            <w:bottom w:val="none" w:sz="0" w:space="0" w:color="auto"/>
            <w:right w:val="none" w:sz="0" w:space="0" w:color="auto"/>
          </w:divBdr>
        </w:div>
        <w:div w:id="639456348">
          <w:marLeft w:val="0"/>
          <w:marRight w:val="0"/>
          <w:marTop w:val="0"/>
          <w:marBottom w:val="101"/>
          <w:divBdr>
            <w:top w:val="none" w:sz="0" w:space="0" w:color="auto"/>
            <w:left w:val="none" w:sz="0" w:space="0" w:color="auto"/>
            <w:bottom w:val="none" w:sz="0" w:space="0" w:color="auto"/>
            <w:right w:val="none" w:sz="0" w:space="0" w:color="auto"/>
          </w:divBdr>
        </w:div>
        <w:div w:id="640115670">
          <w:marLeft w:val="0"/>
          <w:marRight w:val="0"/>
          <w:marTop w:val="0"/>
          <w:marBottom w:val="101"/>
          <w:divBdr>
            <w:top w:val="none" w:sz="0" w:space="0" w:color="auto"/>
            <w:left w:val="none" w:sz="0" w:space="0" w:color="auto"/>
            <w:bottom w:val="none" w:sz="0" w:space="0" w:color="auto"/>
            <w:right w:val="none" w:sz="0" w:space="0" w:color="auto"/>
          </w:divBdr>
        </w:div>
        <w:div w:id="644546957">
          <w:marLeft w:val="720"/>
          <w:marRight w:val="0"/>
          <w:marTop w:val="0"/>
          <w:marBottom w:val="101"/>
          <w:divBdr>
            <w:top w:val="none" w:sz="0" w:space="0" w:color="auto"/>
            <w:left w:val="none" w:sz="0" w:space="0" w:color="auto"/>
            <w:bottom w:val="none" w:sz="0" w:space="0" w:color="auto"/>
            <w:right w:val="none" w:sz="0" w:space="0" w:color="auto"/>
          </w:divBdr>
        </w:div>
        <w:div w:id="659962234">
          <w:marLeft w:val="0"/>
          <w:marRight w:val="0"/>
          <w:marTop w:val="0"/>
          <w:marBottom w:val="101"/>
          <w:divBdr>
            <w:top w:val="none" w:sz="0" w:space="0" w:color="auto"/>
            <w:left w:val="none" w:sz="0" w:space="0" w:color="auto"/>
            <w:bottom w:val="none" w:sz="0" w:space="0" w:color="auto"/>
            <w:right w:val="none" w:sz="0" w:space="0" w:color="auto"/>
          </w:divBdr>
        </w:div>
        <w:div w:id="666250374">
          <w:marLeft w:val="0"/>
          <w:marRight w:val="0"/>
          <w:marTop w:val="0"/>
          <w:marBottom w:val="60"/>
          <w:divBdr>
            <w:top w:val="none" w:sz="0" w:space="0" w:color="auto"/>
            <w:left w:val="none" w:sz="0" w:space="0" w:color="auto"/>
            <w:bottom w:val="none" w:sz="0" w:space="0" w:color="auto"/>
            <w:right w:val="none" w:sz="0" w:space="0" w:color="auto"/>
          </w:divBdr>
        </w:div>
        <w:div w:id="666589887">
          <w:marLeft w:val="720"/>
          <w:marRight w:val="0"/>
          <w:marTop w:val="0"/>
          <w:marBottom w:val="90"/>
          <w:divBdr>
            <w:top w:val="none" w:sz="0" w:space="0" w:color="auto"/>
            <w:left w:val="none" w:sz="0" w:space="0" w:color="auto"/>
            <w:bottom w:val="none" w:sz="0" w:space="0" w:color="auto"/>
            <w:right w:val="none" w:sz="0" w:space="0" w:color="auto"/>
          </w:divBdr>
        </w:div>
        <w:div w:id="680081513">
          <w:marLeft w:val="0"/>
          <w:marRight w:val="0"/>
          <w:marTop w:val="0"/>
          <w:marBottom w:val="101"/>
          <w:divBdr>
            <w:top w:val="none" w:sz="0" w:space="0" w:color="auto"/>
            <w:left w:val="none" w:sz="0" w:space="0" w:color="auto"/>
            <w:bottom w:val="none" w:sz="0" w:space="0" w:color="auto"/>
            <w:right w:val="none" w:sz="0" w:space="0" w:color="auto"/>
          </w:divBdr>
        </w:div>
        <w:div w:id="703210548">
          <w:marLeft w:val="0"/>
          <w:marRight w:val="0"/>
          <w:marTop w:val="0"/>
          <w:marBottom w:val="101"/>
          <w:divBdr>
            <w:top w:val="none" w:sz="0" w:space="0" w:color="auto"/>
            <w:left w:val="none" w:sz="0" w:space="0" w:color="auto"/>
            <w:bottom w:val="none" w:sz="0" w:space="0" w:color="auto"/>
            <w:right w:val="none" w:sz="0" w:space="0" w:color="auto"/>
          </w:divBdr>
        </w:div>
        <w:div w:id="729035364">
          <w:marLeft w:val="0"/>
          <w:marRight w:val="0"/>
          <w:marTop w:val="0"/>
          <w:marBottom w:val="101"/>
          <w:divBdr>
            <w:top w:val="none" w:sz="0" w:space="0" w:color="auto"/>
            <w:left w:val="none" w:sz="0" w:space="0" w:color="auto"/>
            <w:bottom w:val="none" w:sz="0" w:space="0" w:color="auto"/>
            <w:right w:val="none" w:sz="0" w:space="0" w:color="auto"/>
          </w:divBdr>
        </w:div>
        <w:div w:id="735905333">
          <w:marLeft w:val="0"/>
          <w:marRight w:val="0"/>
          <w:marTop w:val="0"/>
          <w:marBottom w:val="101"/>
          <w:divBdr>
            <w:top w:val="none" w:sz="0" w:space="0" w:color="auto"/>
            <w:left w:val="none" w:sz="0" w:space="0" w:color="auto"/>
            <w:bottom w:val="none" w:sz="0" w:space="0" w:color="auto"/>
            <w:right w:val="none" w:sz="0" w:space="0" w:color="auto"/>
          </w:divBdr>
        </w:div>
        <w:div w:id="745153205">
          <w:marLeft w:val="720"/>
          <w:marRight w:val="0"/>
          <w:marTop w:val="0"/>
          <w:marBottom w:val="101"/>
          <w:divBdr>
            <w:top w:val="none" w:sz="0" w:space="0" w:color="auto"/>
            <w:left w:val="none" w:sz="0" w:space="0" w:color="auto"/>
            <w:bottom w:val="none" w:sz="0" w:space="0" w:color="auto"/>
            <w:right w:val="none" w:sz="0" w:space="0" w:color="auto"/>
          </w:divBdr>
        </w:div>
        <w:div w:id="747847528">
          <w:marLeft w:val="0"/>
          <w:marRight w:val="0"/>
          <w:marTop w:val="0"/>
          <w:marBottom w:val="60"/>
          <w:divBdr>
            <w:top w:val="none" w:sz="0" w:space="0" w:color="auto"/>
            <w:left w:val="none" w:sz="0" w:space="0" w:color="auto"/>
            <w:bottom w:val="none" w:sz="0" w:space="0" w:color="auto"/>
            <w:right w:val="none" w:sz="0" w:space="0" w:color="auto"/>
          </w:divBdr>
        </w:div>
        <w:div w:id="758016565">
          <w:marLeft w:val="0"/>
          <w:marRight w:val="0"/>
          <w:marTop w:val="0"/>
          <w:marBottom w:val="101"/>
          <w:divBdr>
            <w:top w:val="none" w:sz="0" w:space="0" w:color="auto"/>
            <w:left w:val="none" w:sz="0" w:space="0" w:color="auto"/>
            <w:bottom w:val="none" w:sz="0" w:space="0" w:color="auto"/>
            <w:right w:val="none" w:sz="0" w:space="0" w:color="auto"/>
          </w:divBdr>
        </w:div>
        <w:div w:id="793864148">
          <w:marLeft w:val="720"/>
          <w:marRight w:val="0"/>
          <w:marTop w:val="0"/>
          <w:marBottom w:val="90"/>
          <w:divBdr>
            <w:top w:val="none" w:sz="0" w:space="0" w:color="auto"/>
            <w:left w:val="none" w:sz="0" w:space="0" w:color="auto"/>
            <w:bottom w:val="none" w:sz="0" w:space="0" w:color="auto"/>
            <w:right w:val="none" w:sz="0" w:space="0" w:color="auto"/>
          </w:divBdr>
        </w:div>
        <w:div w:id="795636829">
          <w:marLeft w:val="0"/>
          <w:marRight w:val="0"/>
          <w:marTop w:val="0"/>
          <w:marBottom w:val="101"/>
          <w:divBdr>
            <w:top w:val="none" w:sz="0" w:space="0" w:color="auto"/>
            <w:left w:val="none" w:sz="0" w:space="0" w:color="auto"/>
            <w:bottom w:val="none" w:sz="0" w:space="0" w:color="auto"/>
            <w:right w:val="none" w:sz="0" w:space="0" w:color="auto"/>
          </w:divBdr>
        </w:div>
        <w:div w:id="802891410">
          <w:marLeft w:val="720"/>
          <w:marRight w:val="0"/>
          <w:marTop w:val="0"/>
          <w:marBottom w:val="101"/>
          <w:divBdr>
            <w:top w:val="none" w:sz="0" w:space="0" w:color="auto"/>
            <w:left w:val="none" w:sz="0" w:space="0" w:color="auto"/>
            <w:bottom w:val="none" w:sz="0" w:space="0" w:color="auto"/>
            <w:right w:val="none" w:sz="0" w:space="0" w:color="auto"/>
          </w:divBdr>
        </w:div>
        <w:div w:id="803891819">
          <w:marLeft w:val="0"/>
          <w:marRight w:val="0"/>
          <w:marTop w:val="0"/>
          <w:marBottom w:val="60"/>
          <w:divBdr>
            <w:top w:val="none" w:sz="0" w:space="0" w:color="auto"/>
            <w:left w:val="none" w:sz="0" w:space="0" w:color="auto"/>
            <w:bottom w:val="none" w:sz="0" w:space="0" w:color="auto"/>
            <w:right w:val="none" w:sz="0" w:space="0" w:color="auto"/>
          </w:divBdr>
        </w:div>
        <w:div w:id="807479043">
          <w:marLeft w:val="0"/>
          <w:marRight w:val="0"/>
          <w:marTop w:val="0"/>
          <w:marBottom w:val="90"/>
          <w:divBdr>
            <w:top w:val="none" w:sz="0" w:space="0" w:color="auto"/>
            <w:left w:val="none" w:sz="0" w:space="0" w:color="auto"/>
            <w:bottom w:val="none" w:sz="0" w:space="0" w:color="auto"/>
            <w:right w:val="none" w:sz="0" w:space="0" w:color="auto"/>
          </w:divBdr>
        </w:div>
        <w:div w:id="814689742">
          <w:marLeft w:val="720"/>
          <w:marRight w:val="0"/>
          <w:marTop w:val="0"/>
          <w:marBottom w:val="101"/>
          <w:divBdr>
            <w:top w:val="none" w:sz="0" w:space="0" w:color="auto"/>
            <w:left w:val="none" w:sz="0" w:space="0" w:color="auto"/>
            <w:bottom w:val="none" w:sz="0" w:space="0" w:color="auto"/>
            <w:right w:val="none" w:sz="0" w:space="0" w:color="auto"/>
          </w:divBdr>
        </w:div>
        <w:div w:id="847645249">
          <w:marLeft w:val="0"/>
          <w:marRight w:val="0"/>
          <w:marTop w:val="0"/>
          <w:marBottom w:val="101"/>
          <w:divBdr>
            <w:top w:val="none" w:sz="0" w:space="0" w:color="auto"/>
            <w:left w:val="none" w:sz="0" w:space="0" w:color="auto"/>
            <w:bottom w:val="none" w:sz="0" w:space="0" w:color="auto"/>
            <w:right w:val="none" w:sz="0" w:space="0" w:color="auto"/>
          </w:divBdr>
        </w:div>
        <w:div w:id="848326907">
          <w:marLeft w:val="0"/>
          <w:marRight w:val="0"/>
          <w:marTop w:val="0"/>
          <w:marBottom w:val="101"/>
          <w:divBdr>
            <w:top w:val="none" w:sz="0" w:space="0" w:color="auto"/>
            <w:left w:val="none" w:sz="0" w:space="0" w:color="auto"/>
            <w:bottom w:val="none" w:sz="0" w:space="0" w:color="auto"/>
            <w:right w:val="none" w:sz="0" w:space="0" w:color="auto"/>
          </w:divBdr>
        </w:div>
        <w:div w:id="849560882">
          <w:marLeft w:val="0"/>
          <w:marRight w:val="0"/>
          <w:marTop w:val="0"/>
          <w:marBottom w:val="101"/>
          <w:divBdr>
            <w:top w:val="none" w:sz="0" w:space="0" w:color="auto"/>
            <w:left w:val="none" w:sz="0" w:space="0" w:color="auto"/>
            <w:bottom w:val="none" w:sz="0" w:space="0" w:color="auto"/>
            <w:right w:val="none" w:sz="0" w:space="0" w:color="auto"/>
          </w:divBdr>
        </w:div>
        <w:div w:id="851919968">
          <w:marLeft w:val="0"/>
          <w:marRight w:val="0"/>
          <w:marTop w:val="0"/>
          <w:marBottom w:val="101"/>
          <w:divBdr>
            <w:top w:val="none" w:sz="0" w:space="0" w:color="auto"/>
            <w:left w:val="none" w:sz="0" w:space="0" w:color="auto"/>
            <w:bottom w:val="none" w:sz="0" w:space="0" w:color="auto"/>
            <w:right w:val="none" w:sz="0" w:space="0" w:color="auto"/>
          </w:divBdr>
        </w:div>
        <w:div w:id="857235258">
          <w:marLeft w:val="0"/>
          <w:marRight w:val="0"/>
          <w:marTop w:val="0"/>
          <w:marBottom w:val="101"/>
          <w:divBdr>
            <w:top w:val="none" w:sz="0" w:space="0" w:color="auto"/>
            <w:left w:val="none" w:sz="0" w:space="0" w:color="auto"/>
            <w:bottom w:val="none" w:sz="0" w:space="0" w:color="auto"/>
            <w:right w:val="none" w:sz="0" w:space="0" w:color="auto"/>
          </w:divBdr>
        </w:div>
        <w:div w:id="874973458">
          <w:marLeft w:val="0"/>
          <w:marRight w:val="0"/>
          <w:marTop w:val="0"/>
          <w:marBottom w:val="60"/>
          <w:divBdr>
            <w:top w:val="none" w:sz="0" w:space="0" w:color="auto"/>
            <w:left w:val="none" w:sz="0" w:space="0" w:color="auto"/>
            <w:bottom w:val="none" w:sz="0" w:space="0" w:color="auto"/>
            <w:right w:val="none" w:sz="0" w:space="0" w:color="auto"/>
          </w:divBdr>
        </w:div>
        <w:div w:id="875702179">
          <w:marLeft w:val="0"/>
          <w:marRight w:val="0"/>
          <w:marTop w:val="0"/>
          <w:marBottom w:val="101"/>
          <w:divBdr>
            <w:top w:val="none" w:sz="0" w:space="0" w:color="auto"/>
            <w:left w:val="none" w:sz="0" w:space="0" w:color="auto"/>
            <w:bottom w:val="none" w:sz="0" w:space="0" w:color="auto"/>
            <w:right w:val="none" w:sz="0" w:space="0" w:color="auto"/>
          </w:divBdr>
        </w:div>
        <w:div w:id="877593892">
          <w:marLeft w:val="0"/>
          <w:marRight w:val="0"/>
          <w:marTop w:val="0"/>
          <w:marBottom w:val="101"/>
          <w:divBdr>
            <w:top w:val="none" w:sz="0" w:space="0" w:color="auto"/>
            <w:left w:val="none" w:sz="0" w:space="0" w:color="auto"/>
            <w:bottom w:val="none" w:sz="0" w:space="0" w:color="auto"/>
            <w:right w:val="none" w:sz="0" w:space="0" w:color="auto"/>
          </w:divBdr>
        </w:div>
        <w:div w:id="881209856">
          <w:marLeft w:val="0"/>
          <w:marRight w:val="0"/>
          <w:marTop w:val="60"/>
          <w:marBottom w:val="101"/>
          <w:divBdr>
            <w:top w:val="none" w:sz="0" w:space="0" w:color="auto"/>
            <w:left w:val="none" w:sz="0" w:space="0" w:color="auto"/>
            <w:bottom w:val="none" w:sz="0" w:space="0" w:color="auto"/>
            <w:right w:val="none" w:sz="0" w:space="0" w:color="auto"/>
          </w:divBdr>
        </w:div>
        <w:div w:id="905459822">
          <w:marLeft w:val="0"/>
          <w:marRight w:val="0"/>
          <w:marTop w:val="0"/>
          <w:marBottom w:val="101"/>
          <w:divBdr>
            <w:top w:val="none" w:sz="0" w:space="0" w:color="auto"/>
            <w:left w:val="none" w:sz="0" w:space="0" w:color="auto"/>
            <w:bottom w:val="none" w:sz="0" w:space="0" w:color="auto"/>
            <w:right w:val="none" w:sz="0" w:space="0" w:color="auto"/>
          </w:divBdr>
        </w:div>
        <w:div w:id="907152689">
          <w:marLeft w:val="0"/>
          <w:marRight w:val="0"/>
          <w:marTop w:val="0"/>
          <w:marBottom w:val="101"/>
          <w:divBdr>
            <w:top w:val="none" w:sz="0" w:space="0" w:color="auto"/>
            <w:left w:val="none" w:sz="0" w:space="0" w:color="auto"/>
            <w:bottom w:val="none" w:sz="0" w:space="0" w:color="auto"/>
            <w:right w:val="none" w:sz="0" w:space="0" w:color="auto"/>
          </w:divBdr>
        </w:div>
        <w:div w:id="916982462">
          <w:marLeft w:val="0"/>
          <w:marRight w:val="0"/>
          <w:marTop w:val="0"/>
          <w:marBottom w:val="101"/>
          <w:divBdr>
            <w:top w:val="none" w:sz="0" w:space="0" w:color="auto"/>
            <w:left w:val="none" w:sz="0" w:space="0" w:color="auto"/>
            <w:bottom w:val="none" w:sz="0" w:space="0" w:color="auto"/>
            <w:right w:val="none" w:sz="0" w:space="0" w:color="auto"/>
          </w:divBdr>
        </w:div>
        <w:div w:id="925192220">
          <w:marLeft w:val="0"/>
          <w:marRight w:val="0"/>
          <w:marTop w:val="0"/>
          <w:marBottom w:val="101"/>
          <w:divBdr>
            <w:top w:val="none" w:sz="0" w:space="0" w:color="auto"/>
            <w:left w:val="none" w:sz="0" w:space="0" w:color="auto"/>
            <w:bottom w:val="none" w:sz="0" w:space="0" w:color="auto"/>
            <w:right w:val="none" w:sz="0" w:space="0" w:color="auto"/>
          </w:divBdr>
        </w:div>
        <w:div w:id="925503351">
          <w:marLeft w:val="0"/>
          <w:marRight w:val="0"/>
          <w:marTop w:val="0"/>
          <w:marBottom w:val="101"/>
          <w:divBdr>
            <w:top w:val="none" w:sz="0" w:space="0" w:color="auto"/>
            <w:left w:val="none" w:sz="0" w:space="0" w:color="auto"/>
            <w:bottom w:val="none" w:sz="0" w:space="0" w:color="auto"/>
            <w:right w:val="none" w:sz="0" w:space="0" w:color="auto"/>
          </w:divBdr>
        </w:div>
        <w:div w:id="927544625">
          <w:marLeft w:val="0"/>
          <w:marRight w:val="0"/>
          <w:marTop w:val="0"/>
          <w:marBottom w:val="101"/>
          <w:divBdr>
            <w:top w:val="none" w:sz="0" w:space="0" w:color="auto"/>
            <w:left w:val="none" w:sz="0" w:space="0" w:color="auto"/>
            <w:bottom w:val="none" w:sz="0" w:space="0" w:color="auto"/>
            <w:right w:val="none" w:sz="0" w:space="0" w:color="auto"/>
          </w:divBdr>
        </w:div>
        <w:div w:id="952244426">
          <w:marLeft w:val="0"/>
          <w:marRight w:val="0"/>
          <w:marTop w:val="0"/>
          <w:marBottom w:val="101"/>
          <w:divBdr>
            <w:top w:val="none" w:sz="0" w:space="0" w:color="auto"/>
            <w:left w:val="none" w:sz="0" w:space="0" w:color="auto"/>
            <w:bottom w:val="none" w:sz="0" w:space="0" w:color="auto"/>
            <w:right w:val="none" w:sz="0" w:space="0" w:color="auto"/>
          </w:divBdr>
        </w:div>
        <w:div w:id="961225252">
          <w:marLeft w:val="0"/>
          <w:marRight w:val="0"/>
          <w:marTop w:val="0"/>
          <w:marBottom w:val="101"/>
          <w:divBdr>
            <w:top w:val="none" w:sz="0" w:space="0" w:color="auto"/>
            <w:left w:val="none" w:sz="0" w:space="0" w:color="auto"/>
            <w:bottom w:val="none" w:sz="0" w:space="0" w:color="auto"/>
            <w:right w:val="none" w:sz="0" w:space="0" w:color="auto"/>
          </w:divBdr>
        </w:div>
        <w:div w:id="962153414">
          <w:marLeft w:val="0"/>
          <w:marRight w:val="0"/>
          <w:marTop w:val="0"/>
          <w:marBottom w:val="101"/>
          <w:divBdr>
            <w:top w:val="none" w:sz="0" w:space="0" w:color="auto"/>
            <w:left w:val="none" w:sz="0" w:space="0" w:color="auto"/>
            <w:bottom w:val="none" w:sz="0" w:space="0" w:color="auto"/>
            <w:right w:val="none" w:sz="0" w:space="0" w:color="auto"/>
          </w:divBdr>
        </w:div>
        <w:div w:id="964580452">
          <w:marLeft w:val="0"/>
          <w:marRight w:val="0"/>
          <w:marTop w:val="0"/>
          <w:marBottom w:val="101"/>
          <w:divBdr>
            <w:top w:val="none" w:sz="0" w:space="0" w:color="auto"/>
            <w:left w:val="none" w:sz="0" w:space="0" w:color="auto"/>
            <w:bottom w:val="none" w:sz="0" w:space="0" w:color="auto"/>
            <w:right w:val="none" w:sz="0" w:space="0" w:color="auto"/>
          </w:divBdr>
        </w:div>
        <w:div w:id="983124402">
          <w:marLeft w:val="0"/>
          <w:marRight w:val="0"/>
          <w:marTop w:val="0"/>
          <w:marBottom w:val="101"/>
          <w:divBdr>
            <w:top w:val="none" w:sz="0" w:space="0" w:color="auto"/>
            <w:left w:val="none" w:sz="0" w:space="0" w:color="auto"/>
            <w:bottom w:val="none" w:sz="0" w:space="0" w:color="auto"/>
            <w:right w:val="none" w:sz="0" w:space="0" w:color="auto"/>
          </w:divBdr>
        </w:div>
        <w:div w:id="995256851">
          <w:marLeft w:val="0"/>
          <w:marRight w:val="0"/>
          <w:marTop w:val="0"/>
          <w:marBottom w:val="101"/>
          <w:divBdr>
            <w:top w:val="none" w:sz="0" w:space="0" w:color="auto"/>
            <w:left w:val="none" w:sz="0" w:space="0" w:color="auto"/>
            <w:bottom w:val="none" w:sz="0" w:space="0" w:color="auto"/>
            <w:right w:val="none" w:sz="0" w:space="0" w:color="auto"/>
          </w:divBdr>
        </w:div>
        <w:div w:id="1001851921">
          <w:marLeft w:val="0"/>
          <w:marRight w:val="0"/>
          <w:marTop w:val="0"/>
          <w:marBottom w:val="101"/>
          <w:divBdr>
            <w:top w:val="none" w:sz="0" w:space="0" w:color="auto"/>
            <w:left w:val="none" w:sz="0" w:space="0" w:color="auto"/>
            <w:bottom w:val="none" w:sz="0" w:space="0" w:color="auto"/>
            <w:right w:val="none" w:sz="0" w:space="0" w:color="auto"/>
          </w:divBdr>
        </w:div>
        <w:div w:id="1022172648">
          <w:marLeft w:val="0"/>
          <w:marRight w:val="0"/>
          <w:marTop w:val="0"/>
          <w:marBottom w:val="101"/>
          <w:divBdr>
            <w:top w:val="none" w:sz="0" w:space="0" w:color="auto"/>
            <w:left w:val="none" w:sz="0" w:space="0" w:color="auto"/>
            <w:bottom w:val="none" w:sz="0" w:space="0" w:color="auto"/>
            <w:right w:val="none" w:sz="0" w:space="0" w:color="auto"/>
          </w:divBdr>
        </w:div>
        <w:div w:id="1030184528">
          <w:marLeft w:val="0"/>
          <w:marRight w:val="0"/>
          <w:marTop w:val="0"/>
          <w:marBottom w:val="101"/>
          <w:divBdr>
            <w:top w:val="none" w:sz="0" w:space="0" w:color="auto"/>
            <w:left w:val="none" w:sz="0" w:space="0" w:color="auto"/>
            <w:bottom w:val="none" w:sz="0" w:space="0" w:color="auto"/>
            <w:right w:val="none" w:sz="0" w:space="0" w:color="auto"/>
          </w:divBdr>
        </w:div>
        <w:div w:id="1032263233">
          <w:marLeft w:val="0"/>
          <w:marRight w:val="0"/>
          <w:marTop w:val="0"/>
          <w:marBottom w:val="101"/>
          <w:divBdr>
            <w:top w:val="none" w:sz="0" w:space="0" w:color="auto"/>
            <w:left w:val="none" w:sz="0" w:space="0" w:color="auto"/>
            <w:bottom w:val="none" w:sz="0" w:space="0" w:color="auto"/>
            <w:right w:val="none" w:sz="0" w:space="0" w:color="auto"/>
          </w:divBdr>
        </w:div>
        <w:div w:id="1033069859">
          <w:marLeft w:val="0"/>
          <w:marRight w:val="0"/>
          <w:marTop w:val="0"/>
          <w:marBottom w:val="101"/>
          <w:divBdr>
            <w:top w:val="none" w:sz="0" w:space="0" w:color="auto"/>
            <w:left w:val="none" w:sz="0" w:space="0" w:color="auto"/>
            <w:bottom w:val="none" w:sz="0" w:space="0" w:color="auto"/>
            <w:right w:val="none" w:sz="0" w:space="0" w:color="auto"/>
          </w:divBdr>
        </w:div>
        <w:div w:id="1033581623">
          <w:marLeft w:val="720"/>
          <w:marRight w:val="0"/>
          <w:marTop w:val="0"/>
          <w:marBottom w:val="90"/>
          <w:divBdr>
            <w:top w:val="none" w:sz="0" w:space="0" w:color="auto"/>
            <w:left w:val="none" w:sz="0" w:space="0" w:color="auto"/>
            <w:bottom w:val="none" w:sz="0" w:space="0" w:color="auto"/>
            <w:right w:val="none" w:sz="0" w:space="0" w:color="auto"/>
          </w:divBdr>
        </w:div>
        <w:div w:id="1035618795">
          <w:marLeft w:val="0"/>
          <w:marRight w:val="0"/>
          <w:marTop w:val="0"/>
          <w:marBottom w:val="90"/>
          <w:divBdr>
            <w:top w:val="none" w:sz="0" w:space="0" w:color="auto"/>
            <w:left w:val="none" w:sz="0" w:space="0" w:color="auto"/>
            <w:bottom w:val="none" w:sz="0" w:space="0" w:color="auto"/>
            <w:right w:val="none" w:sz="0" w:space="0" w:color="auto"/>
          </w:divBdr>
        </w:div>
        <w:div w:id="1040326772">
          <w:marLeft w:val="0"/>
          <w:marRight w:val="0"/>
          <w:marTop w:val="0"/>
          <w:marBottom w:val="60"/>
          <w:divBdr>
            <w:top w:val="none" w:sz="0" w:space="0" w:color="auto"/>
            <w:left w:val="none" w:sz="0" w:space="0" w:color="auto"/>
            <w:bottom w:val="none" w:sz="0" w:space="0" w:color="auto"/>
            <w:right w:val="none" w:sz="0" w:space="0" w:color="auto"/>
          </w:divBdr>
        </w:div>
        <w:div w:id="1046444935">
          <w:marLeft w:val="720"/>
          <w:marRight w:val="0"/>
          <w:marTop w:val="0"/>
          <w:marBottom w:val="101"/>
          <w:divBdr>
            <w:top w:val="none" w:sz="0" w:space="0" w:color="auto"/>
            <w:left w:val="none" w:sz="0" w:space="0" w:color="auto"/>
            <w:bottom w:val="none" w:sz="0" w:space="0" w:color="auto"/>
            <w:right w:val="none" w:sz="0" w:space="0" w:color="auto"/>
          </w:divBdr>
        </w:div>
        <w:div w:id="1047535150">
          <w:marLeft w:val="0"/>
          <w:marRight w:val="0"/>
          <w:marTop w:val="0"/>
          <w:marBottom w:val="101"/>
          <w:divBdr>
            <w:top w:val="none" w:sz="0" w:space="0" w:color="auto"/>
            <w:left w:val="none" w:sz="0" w:space="0" w:color="auto"/>
            <w:bottom w:val="none" w:sz="0" w:space="0" w:color="auto"/>
            <w:right w:val="none" w:sz="0" w:space="0" w:color="auto"/>
          </w:divBdr>
        </w:div>
        <w:div w:id="1056706650">
          <w:marLeft w:val="0"/>
          <w:marRight w:val="0"/>
          <w:marTop w:val="0"/>
          <w:marBottom w:val="101"/>
          <w:divBdr>
            <w:top w:val="none" w:sz="0" w:space="0" w:color="auto"/>
            <w:left w:val="none" w:sz="0" w:space="0" w:color="auto"/>
            <w:bottom w:val="none" w:sz="0" w:space="0" w:color="auto"/>
            <w:right w:val="none" w:sz="0" w:space="0" w:color="auto"/>
          </w:divBdr>
        </w:div>
        <w:div w:id="1068303519">
          <w:marLeft w:val="0"/>
          <w:marRight w:val="0"/>
          <w:marTop w:val="0"/>
          <w:marBottom w:val="90"/>
          <w:divBdr>
            <w:top w:val="none" w:sz="0" w:space="0" w:color="auto"/>
            <w:left w:val="none" w:sz="0" w:space="0" w:color="auto"/>
            <w:bottom w:val="none" w:sz="0" w:space="0" w:color="auto"/>
            <w:right w:val="none" w:sz="0" w:space="0" w:color="auto"/>
          </w:divBdr>
        </w:div>
        <w:div w:id="1069500645">
          <w:marLeft w:val="0"/>
          <w:marRight w:val="0"/>
          <w:marTop w:val="0"/>
          <w:marBottom w:val="101"/>
          <w:divBdr>
            <w:top w:val="none" w:sz="0" w:space="0" w:color="auto"/>
            <w:left w:val="none" w:sz="0" w:space="0" w:color="auto"/>
            <w:bottom w:val="none" w:sz="0" w:space="0" w:color="auto"/>
            <w:right w:val="none" w:sz="0" w:space="0" w:color="auto"/>
          </w:divBdr>
        </w:div>
        <w:div w:id="1075590830">
          <w:marLeft w:val="0"/>
          <w:marRight w:val="0"/>
          <w:marTop w:val="0"/>
          <w:marBottom w:val="101"/>
          <w:divBdr>
            <w:top w:val="none" w:sz="0" w:space="0" w:color="auto"/>
            <w:left w:val="none" w:sz="0" w:space="0" w:color="auto"/>
            <w:bottom w:val="none" w:sz="0" w:space="0" w:color="auto"/>
            <w:right w:val="none" w:sz="0" w:space="0" w:color="auto"/>
          </w:divBdr>
        </w:div>
        <w:div w:id="1078937596">
          <w:marLeft w:val="0"/>
          <w:marRight w:val="0"/>
          <w:marTop w:val="0"/>
          <w:marBottom w:val="101"/>
          <w:divBdr>
            <w:top w:val="none" w:sz="0" w:space="0" w:color="auto"/>
            <w:left w:val="none" w:sz="0" w:space="0" w:color="auto"/>
            <w:bottom w:val="none" w:sz="0" w:space="0" w:color="auto"/>
            <w:right w:val="none" w:sz="0" w:space="0" w:color="auto"/>
          </w:divBdr>
        </w:div>
        <w:div w:id="1097366704">
          <w:marLeft w:val="0"/>
          <w:marRight w:val="0"/>
          <w:marTop w:val="0"/>
          <w:marBottom w:val="101"/>
          <w:divBdr>
            <w:top w:val="none" w:sz="0" w:space="0" w:color="auto"/>
            <w:left w:val="none" w:sz="0" w:space="0" w:color="auto"/>
            <w:bottom w:val="none" w:sz="0" w:space="0" w:color="auto"/>
            <w:right w:val="none" w:sz="0" w:space="0" w:color="auto"/>
          </w:divBdr>
        </w:div>
        <w:div w:id="1105344448">
          <w:marLeft w:val="0"/>
          <w:marRight w:val="0"/>
          <w:marTop w:val="0"/>
          <w:marBottom w:val="101"/>
          <w:divBdr>
            <w:top w:val="none" w:sz="0" w:space="0" w:color="auto"/>
            <w:left w:val="none" w:sz="0" w:space="0" w:color="auto"/>
            <w:bottom w:val="none" w:sz="0" w:space="0" w:color="auto"/>
            <w:right w:val="none" w:sz="0" w:space="0" w:color="auto"/>
          </w:divBdr>
        </w:div>
        <w:div w:id="1111389046">
          <w:marLeft w:val="0"/>
          <w:marRight w:val="0"/>
          <w:marTop w:val="0"/>
          <w:marBottom w:val="101"/>
          <w:divBdr>
            <w:top w:val="none" w:sz="0" w:space="0" w:color="auto"/>
            <w:left w:val="none" w:sz="0" w:space="0" w:color="auto"/>
            <w:bottom w:val="none" w:sz="0" w:space="0" w:color="auto"/>
            <w:right w:val="none" w:sz="0" w:space="0" w:color="auto"/>
          </w:divBdr>
        </w:div>
        <w:div w:id="1125350268">
          <w:marLeft w:val="0"/>
          <w:marRight w:val="0"/>
          <w:marTop w:val="0"/>
          <w:marBottom w:val="101"/>
          <w:divBdr>
            <w:top w:val="none" w:sz="0" w:space="0" w:color="auto"/>
            <w:left w:val="none" w:sz="0" w:space="0" w:color="auto"/>
            <w:bottom w:val="none" w:sz="0" w:space="0" w:color="auto"/>
            <w:right w:val="none" w:sz="0" w:space="0" w:color="auto"/>
          </w:divBdr>
        </w:div>
        <w:div w:id="1127240831">
          <w:marLeft w:val="0"/>
          <w:marRight w:val="0"/>
          <w:marTop w:val="0"/>
          <w:marBottom w:val="101"/>
          <w:divBdr>
            <w:top w:val="none" w:sz="0" w:space="0" w:color="auto"/>
            <w:left w:val="none" w:sz="0" w:space="0" w:color="auto"/>
            <w:bottom w:val="none" w:sz="0" w:space="0" w:color="auto"/>
            <w:right w:val="none" w:sz="0" w:space="0" w:color="auto"/>
          </w:divBdr>
        </w:div>
        <w:div w:id="1142189241">
          <w:marLeft w:val="720"/>
          <w:marRight w:val="0"/>
          <w:marTop w:val="0"/>
          <w:marBottom w:val="101"/>
          <w:divBdr>
            <w:top w:val="none" w:sz="0" w:space="0" w:color="auto"/>
            <w:left w:val="none" w:sz="0" w:space="0" w:color="auto"/>
            <w:bottom w:val="none" w:sz="0" w:space="0" w:color="auto"/>
            <w:right w:val="none" w:sz="0" w:space="0" w:color="auto"/>
          </w:divBdr>
        </w:div>
        <w:div w:id="1148323145">
          <w:marLeft w:val="0"/>
          <w:marRight w:val="0"/>
          <w:marTop w:val="0"/>
          <w:marBottom w:val="101"/>
          <w:divBdr>
            <w:top w:val="none" w:sz="0" w:space="0" w:color="auto"/>
            <w:left w:val="none" w:sz="0" w:space="0" w:color="auto"/>
            <w:bottom w:val="none" w:sz="0" w:space="0" w:color="auto"/>
            <w:right w:val="none" w:sz="0" w:space="0" w:color="auto"/>
          </w:divBdr>
        </w:div>
        <w:div w:id="1150055402">
          <w:marLeft w:val="0"/>
          <w:marRight w:val="0"/>
          <w:marTop w:val="0"/>
          <w:marBottom w:val="60"/>
          <w:divBdr>
            <w:top w:val="none" w:sz="0" w:space="0" w:color="auto"/>
            <w:left w:val="none" w:sz="0" w:space="0" w:color="auto"/>
            <w:bottom w:val="none" w:sz="0" w:space="0" w:color="auto"/>
            <w:right w:val="none" w:sz="0" w:space="0" w:color="auto"/>
          </w:divBdr>
        </w:div>
        <w:div w:id="1151866279">
          <w:marLeft w:val="0"/>
          <w:marRight w:val="0"/>
          <w:marTop w:val="0"/>
          <w:marBottom w:val="101"/>
          <w:divBdr>
            <w:top w:val="none" w:sz="0" w:space="0" w:color="auto"/>
            <w:left w:val="none" w:sz="0" w:space="0" w:color="auto"/>
            <w:bottom w:val="none" w:sz="0" w:space="0" w:color="auto"/>
            <w:right w:val="none" w:sz="0" w:space="0" w:color="auto"/>
          </w:divBdr>
        </w:div>
        <w:div w:id="1152209934">
          <w:marLeft w:val="0"/>
          <w:marRight w:val="0"/>
          <w:marTop w:val="0"/>
          <w:marBottom w:val="101"/>
          <w:divBdr>
            <w:top w:val="none" w:sz="0" w:space="0" w:color="auto"/>
            <w:left w:val="none" w:sz="0" w:space="0" w:color="auto"/>
            <w:bottom w:val="none" w:sz="0" w:space="0" w:color="auto"/>
            <w:right w:val="none" w:sz="0" w:space="0" w:color="auto"/>
          </w:divBdr>
        </w:div>
        <w:div w:id="1179466711">
          <w:marLeft w:val="0"/>
          <w:marRight w:val="0"/>
          <w:marTop w:val="0"/>
          <w:marBottom w:val="101"/>
          <w:divBdr>
            <w:top w:val="none" w:sz="0" w:space="0" w:color="auto"/>
            <w:left w:val="none" w:sz="0" w:space="0" w:color="auto"/>
            <w:bottom w:val="none" w:sz="0" w:space="0" w:color="auto"/>
            <w:right w:val="none" w:sz="0" w:space="0" w:color="auto"/>
          </w:divBdr>
        </w:div>
        <w:div w:id="1184049960">
          <w:marLeft w:val="0"/>
          <w:marRight w:val="0"/>
          <w:marTop w:val="0"/>
          <w:marBottom w:val="101"/>
          <w:divBdr>
            <w:top w:val="none" w:sz="0" w:space="0" w:color="auto"/>
            <w:left w:val="none" w:sz="0" w:space="0" w:color="auto"/>
            <w:bottom w:val="none" w:sz="0" w:space="0" w:color="auto"/>
            <w:right w:val="none" w:sz="0" w:space="0" w:color="auto"/>
          </w:divBdr>
        </w:div>
        <w:div w:id="1190875834">
          <w:marLeft w:val="0"/>
          <w:marRight w:val="0"/>
          <w:marTop w:val="0"/>
          <w:marBottom w:val="101"/>
          <w:divBdr>
            <w:top w:val="none" w:sz="0" w:space="0" w:color="auto"/>
            <w:left w:val="none" w:sz="0" w:space="0" w:color="auto"/>
            <w:bottom w:val="none" w:sz="0" w:space="0" w:color="auto"/>
            <w:right w:val="none" w:sz="0" w:space="0" w:color="auto"/>
          </w:divBdr>
        </w:div>
        <w:div w:id="1197624914">
          <w:marLeft w:val="0"/>
          <w:marRight w:val="0"/>
          <w:marTop w:val="0"/>
          <w:marBottom w:val="101"/>
          <w:divBdr>
            <w:top w:val="none" w:sz="0" w:space="0" w:color="auto"/>
            <w:left w:val="none" w:sz="0" w:space="0" w:color="auto"/>
            <w:bottom w:val="none" w:sz="0" w:space="0" w:color="auto"/>
            <w:right w:val="none" w:sz="0" w:space="0" w:color="auto"/>
          </w:divBdr>
        </w:div>
        <w:div w:id="1216967021">
          <w:marLeft w:val="0"/>
          <w:marRight w:val="0"/>
          <w:marTop w:val="0"/>
          <w:marBottom w:val="101"/>
          <w:divBdr>
            <w:top w:val="none" w:sz="0" w:space="0" w:color="auto"/>
            <w:left w:val="none" w:sz="0" w:space="0" w:color="auto"/>
            <w:bottom w:val="none" w:sz="0" w:space="0" w:color="auto"/>
            <w:right w:val="none" w:sz="0" w:space="0" w:color="auto"/>
          </w:divBdr>
        </w:div>
        <w:div w:id="1221941661">
          <w:marLeft w:val="0"/>
          <w:marRight w:val="0"/>
          <w:marTop w:val="0"/>
          <w:marBottom w:val="60"/>
          <w:divBdr>
            <w:top w:val="none" w:sz="0" w:space="0" w:color="auto"/>
            <w:left w:val="none" w:sz="0" w:space="0" w:color="auto"/>
            <w:bottom w:val="none" w:sz="0" w:space="0" w:color="auto"/>
            <w:right w:val="none" w:sz="0" w:space="0" w:color="auto"/>
          </w:divBdr>
        </w:div>
        <w:div w:id="1222444606">
          <w:marLeft w:val="0"/>
          <w:marRight w:val="0"/>
          <w:marTop w:val="0"/>
          <w:marBottom w:val="101"/>
          <w:divBdr>
            <w:top w:val="none" w:sz="0" w:space="0" w:color="auto"/>
            <w:left w:val="none" w:sz="0" w:space="0" w:color="auto"/>
            <w:bottom w:val="none" w:sz="0" w:space="0" w:color="auto"/>
            <w:right w:val="none" w:sz="0" w:space="0" w:color="auto"/>
          </w:divBdr>
        </w:div>
        <w:div w:id="1223099892">
          <w:marLeft w:val="720"/>
          <w:marRight w:val="0"/>
          <w:marTop w:val="0"/>
          <w:marBottom w:val="101"/>
          <w:divBdr>
            <w:top w:val="none" w:sz="0" w:space="0" w:color="auto"/>
            <w:left w:val="none" w:sz="0" w:space="0" w:color="auto"/>
            <w:bottom w:val="none" w:sz="0" w:space="0" w:color="auto"/>
            <w:right w:val="none" w:sz="0" w:space="0" w:color="auto"/>
          </w:divBdr>
        </w:div>
        <w:div w:id="1233616011">
          <w:marLeft w:val="0"/>
          <w:marRight w:val="0"/>
          <w:marTop w:val="0"/>
          <w:marBottom w:val="101"/>
          <w:divBdr>
            <w:top w:val="none" w:sz="0" w:space="0" w:color="auto"/>
            <w:left w:val="none" w:sz="0" w:space="0" w:color="auto"/>
            <w:bottom w:val="none" w:sz="0" w:space="0" w:color="auto"/>
            <w:right w:val="none" w:sz="0" w:space="0" w:color="auto"/>
          </w:divBdr>
        </w:div>
        <w:div w:id="1244029502">
          <w:marLeft w:val="0"/>
          <w:marRight w:val="0"/>
          <w:marTop w:val="0"/>
          <w:marBottom w:val="101"/>
          <w:divBdr>
            <w:top w:val="none" w:sz="0" w:space="0" w:color="auto"/>
            <w:left w:val="none" w:sz="0" w:space="0" w:color="auto"/>
            <w:bottom w:val="none" w:sz="0" w:space="0" w:color="auto"/>
            <w:right w:val="none" w:sz="0" w:space="0" w:color="auto"/>
          </w:divBdr>
        </w:div>
        <w:div w:id="1257982531">
          <w:marLeft w:val="0"/>
          <w:marRight w:val="0"/>
          <w:marTop w:val="0"/>
          <w:marBottom w:val="101"/>
          <w:divBdr>
            <w:top w:val="none" w:sz="0" w:space="0" w:color="auto"/>
            <w:left w:val="none" w:sz="0" w:space="0" w:color="auto"/>
            <w:bottom w:val="none" w:sz="0" w:space="0" w:color="auto"/>
            <w:right w:val="none" w:sz="0" w:space="0" w:color="auto"/>
          </w:divBdr>
        </w:div>
        <w:div w:id="1260219302">
          <w:marLeft w:val="0"/>
          <w:marRight w:val="0"/>
          <w:marTop w:val="0"/>
          <w:marBottom w:val="60"/>
          <w:divBdr>
            <w:top w:val="none" w:sz="0" w:space="0" w:color="auto"/>
            <w:left w:val="none" w:sz="0" w:space="0" w:color="auto"/>
            <w:bottom w:val="none" w:sz="0" w:space="0" w:color="auto"/>
            <w:right w:val="none" w:sz="0" w:space="0" w:color="auto"/>
          </w:divBdr>
        </w:div>
        <w:div w:id="1266764333">
          <w:marLeft w:val="0"/>
          <w:marRight w:val="0"/>
          <w:marTop w:val="0"/>
          <w:marBottom w:val="101"/>
          <w:divBdr>
            <w:top w:val="none" w:sz="0" w:space="0" w:color="auto"/>
            <w:left w:val="none" w:sz="0" w:space="0" w:color="auto"/>
            <w:bottom w:val="none" w:sz="0" w:space="0" w:color="auto"/>
            <w:right w:val="none" w:sz="0" w:space="0" w:color="auto"/>
          </w:divBdr>
        </w:div>
        <w:div w:id="1276985705">
          <w:marLeft w:val="0"/>
          <w:marRight w:val="0"/>
          <w:marTop w:val="0"/>
          <w:marBottom w:val="60"/>
          <w:divBdr>
            <w:top w:val="none" w:sz="0" w:space="0" w:color="auto"/>
            <w:left w:val="none" w:sz="0" w:space="0" w:color="auto"/>
            <w:bottom w:val="none" w:sz="0" w:space="0" w:color="auto"/>
            <w:right w:val="none" w:sz="0" w:space="0" w:color="auto"/>
          </w:divBdr>
        </w:div>
        <w:div w:id="1281840281">
          <w:marLeft w:val="0"/>
          <w:marRight w:val="0"/>
          <w:marTop w:val="0"/>
          <w:marBottom w:val="101"/>
          <w:divBdr>
            <w:top w:val="none" w:sz="0" w:space="0" w:color="auto"/>
            <w:left w:val="none" w:sz="0" w:space="0" w:color="auto"/>
            <w:bottom w:val="none" w:sz="0" w:space="0" w:color="auto"/>
            <w:right w:val="none" w:sz="0" w:space="0" w:color="auto"/>
          </w:divBdr>
        </w:div>
        <w:div w:id="1283538678">
          <w:marLeft w:val="0"/>
          <w:marRight w:val="0"/>
          <w:marTop w:val="0"/>
          <w:marBottom w:val="101"/>
          <w:divBdr>
            <w:top w:val="none" w:sz="0" w:space="0" w:color="auto"/>
            <w:left w:val="none" w:sz="0" w:space="0" w:color="auto"/>
            <w:bottom w:val="none" w:sz="0" w:space="0" w:color="auto"/>
            <w:right w:val="none" w:sz="0" w:space="0" w:color="auto"/>
          </w:divBdr>
        </w:div>
        <w:div w:id="1292056224">
          <w:marLeft w:val="720"/>
          <w:marRight w:val="0"/>
          <w:marTop w:val="0"/>
          <w:marBottom w:val="101"/>
          <w:divBdr>
            <w:top w:val="none" w:sz="0" w:space="0" w:color="auto"/>
            <w:left w:val="none" w:sz="0" w:space="0" w:color="auto"/>
            <w:bottom w:val="none" w:sz="0" w:space="0" w:color="auto"/>
            <w:right w:val="none" w:sz="0" w:space="0" w:color="auto"/>
          </w:divBdr>
        </w:div>
        <w:div w:id="1313217361">
          <w:marLeft w:val="0"/>
          <w:marRight w:val="0"/>
          <w:marTop w:val="0"/>
          <w:marBottom w:val="101"/>
          <w:divBdr>
            <w:top w:val="none" w:sz="0" w:space="0" w:color="auto"/>
            <w:left w:val="none" w:sz="0" w:space="0" w:color="auto"/>
            <w:bottom w:val="none" w:sz="0" w:space="0" w:color="auto"/>
            <w:right w:val="none" w:sz="0" w:space="0" w:color="auto"/>
          </w:divBdr>
        </w:div>
        <w:div w:id="1326006069">
          <w:marLeft w:val="0"/>
          <w:marRight w:val="0"/>
          <w:marTop w:val="0"/>
          <w:marBottom w:val="101"/>
          <w:divBdr>
            <w:top w:val="none" w:sz="0" w:space="0" w:color="auto"/>
            <w:left w:val="none" w:sz="0" w:space="0" w:color="auto"/>
            <w:bottom w:val="none" w:sz="0" w:space="0" w:color="auto"/>
            <w:right w:val="none" w:sz="0" w:space="0" w:color="auto"/>
          </w:divBdr>
        </w:div>
        <w:div w:id="1329017198">
          <w:marLeft w:val="720"/>
          <w:marRight w:val="0"/>
          <w:marTop w:val="0"/>
          <w:marBottom w:val="101"/>
          <w:divBdr>
            <w:top w:val="none" w:sz="0" w:space="0" w:color="auto"/>
            <w:left w:val="none" w:sz="0" w:space="0" w:color="auto"/>
            <w:bottom w:val="none" w:sz="0" w:space="0" w:color="auto"/>
            <w:right w:val="none" w:sz="0" w:space="0" w:color="auto"/>
          </w:divBdr>
        </w:div>
        <w:div w:id="1329483407">
          <w:marLeft w:val="0"/>
          <w:marRight w:val="0"/>
          <w:marTop w:val="0"/>
          <w:marBottom w:val="60"/>
          <w:divBdr>
            <w:top w:val="none" w:sz="0" w:space="0" w:color="auto"/>
            <w:left w:val="none" w:sz="0" w:space="0" w:color="auto"/>
            <w:bottom w:val="none" w:sz="0" w:space="0" w:color="auto"/>
            <w:right w:val="none" w:sz="0" w:space="0" w:color="auto"/>
          </w:divBdr>
        </w:div>
        <w:div w:id="1330211815">
          <w:marLeft w:val="0"/>
          <w:marRight w:val="0"/>
          <w:marTop w:val="0"/>
          <w:marBottom w:val="101"/>
          <w:divBdr>
            <w:top w:val="none" w:sz="0" w:space="0" w:color="auto"/>
            <w:left w:val="none" w:sz="0" w:space="0" w:color="auto"/>
            <w:bottom w:val="none" w:sz="0" w:space="0" w:color="auto"/>
            <w:right w:val="none" w:sz="0" w:space="0" w:color="auto"/>
          </w:divBdr>
        </w:div>
        <w:div w:id="1333681078">
          <w:marLeft w:val="720"/>
          <w:marRight w:val="0"/>
          <w:marTop w:val="0"/>
          <w:marBottom w:val="60"/>
          <w:divBdr>
            <w:top w:val="none" w:sz="0" w:space="0" w:color="auto"/>
            <w:left w:val="none" w:sz="0" w:space="0" w:color="auto"/>
            <w:bottom w:val="none" w:sz="0" w:space="0" w:color="auto"/>
            <w:right w:val="none" w:sz="0" w:space="0" w:color="auto"/>
          </w:divBdr>
        </w:div>
        <w:div w:id="1335911525">
          <w:marLeft w:val="720"/>
          <w:marRight w:val="0"/>
          <w:marTop w:val="0"/>
          <w:marBottom w:val="101"/>
          <w:divBdr>
            <w:top w:val="none" w:sz="0" w:space="0" w:color="auto"/>
            <w:left w:val="none" w:sz="0" w:space="0" w:color="auto"/>
            <w:bottom w:val="none" w:sz="0" w:space="0" w:color="auto"/>
            <w:right w:val="none" w:sz="0" w:space="0" w:color="auto"/>
          </w:divBdr>
        </w:div>
        <w:div w:id="1357927312">
          <w:marLeft w:val="0"/>
          <w:marRight w:val="0"/>
          <w:marTop w:val="0"/>
          <w:marBottom w:val="101"/>
          <w:divBdr>
            <w:top w:val="none" w:sz="0" w:space="0" w:color="auto"/>
            <w:left w:val="none" w:sz="0" w:space="0" w:color="auto"/>
            <w:bottom w:val="none" w:sz="0" w:space="0" w:color="auto"/>
            <w:right w:val="none" w:sz="0" w:space="0" w:color="auto"/>
          </w:divBdr>
        </w:div>
        <w:div w:id="1363244032">
          <w:marLeft w:val="720"/>
          <w:marRight w:val="0"/>
          <w:marTop w:val="0"/>
          <w:marBottom w:val="101"/>
          <w:divBdr>
            <w:top w:val="none" w:sz="0" w:space="0" w:color="auto"/>
            <w:left w:val="none" w:sz="0" w:space="0" w:color="auto"/>
            <w:bottom w:val="none" w:sz="0" w:space="0" w:color="auto"/>
            <w:right w:val="none" w:sz="0" w:space="0" w:color="auto"/>
          </w:divBdr>
        </w:div>
        <w:div w:id="1363824038">
          <w:marLeft w:val="0"/>
          <w:marRight w:val="0"/>
          <w:marTop w:val="0"/>
          <w:marBottom w:val="101"/>
          <w:divBdr>
            <w:top w:val="none" w:sz="0" w:space="0" w:color="auto"/>
            <w:left w:val="none" w:sz="0" w:space="0" w:color="auto"/>
            <w:bottom w:val="none" w:sz="0" w:space="0" w:color="auto"/>
            <w:right w:val="none" w:sz="0" w:space="0" w:color="auto"/>
          </w:divBdr>
        </w:div>
        <w:div w:id="1371765999">
          <w:marLeft w:val="0"/>
          <w:marRight w:val="0"/>
          <w:marTop w:val="0"/>
          <w:marBottom w:val="101"/>
          <w:divBdr>
            <w:top w:val="none" w:sz="0" w:space="0" w:color="auto"/>
            <w:left w:val="none" w:sz="0" w:space="0" w:color="auto"/>
            <w:bottom w:val="none" w:sz="0" w:space="0" w:color="auto"/>
            <w:right w:val="none" w:sz="0" w:space="0" w:color="auto"/>
          </w:divBdr>
        </w:div>
        <w:div w:id="1387946761">
          <w:marLeft w:val="720"/>
          <w:marRight w:val="0"/>
          <w:marTop w:val="0"/>
          <w:marBottom w:val="90"/>
          <w:divBdr>
            <w:top w:val="none" w:sz="0" w:space="0" w:color="auto"/>
            <w:left w:val="none" w:sz="0" w:space="0" w:color="auto"/>
            <w:bottom w:val="none" w:sz="0" w:space="0" w:color="auto"/>
            <w:right w:val="none" w:sz="0" w:space="0" w:color="auto"/>
          </w:divBdr>
        </w:div>
        <w:div w:id="1400519839">
          <w:marLeft w:val="0"/>
          <w:marRight w:val="0"/>
          <w:marTop w:val="0"/>
          <w:marBottom w:val="101"/>
          <w:divBdr>
            <w:top w:val="none" w:sz="0" w:space="0" w:color="auto"/>
            <w:left w:val="none" w:sz="0" w:space="0" w:color="auto"/>
            <w:bottom w:val="none" w:sz="0" w:space="0" w:color="auto"/>
            <w:right w:val="none" w:sz="0" w:space="0" w:color="auto"/>
          </w:divBdr>
        </w:div>
        <w:div w:id="1400860361">
          <w:marLeft w:val="0"/>
          <w:marRight w:val="0"/>
          <w:marTop w:val="0"/>
          <w:marBottom w:val="101"/>
          <w:divBdr>
            <w:top w:val="none" w:sz="0" w:space="0" w:color="auto"/>
            <w:left w:val="none" w:sz="0" w:space="0" w:color="auto"/>
            <w:bottom w:val="none" w:sz="0" w:space="0" w:color="auto"/>
            <w:right w:val="none" w:sz="0" w:space="0" w:color="auto"/>
          </w:divBdr>
        </w:div>
        <w:div w:id="1403528883">
          <w:marLeft w:val="0"/>
          <w:marRight w:val="0"/>
          <w:marTop w:val="0"/>
          <w:marBottom w:val="101"/>
          <w:divBdr>
            <w:top w:val="none" w:sz="0" w:space="0" w:color="auto"/>
            <w:left w:val="none" w:sz="0" w:space="0" w:color="auto"/>
            <w:bottom w:val="none" w:sz="0" w:space="0" w:color="auto"/>
            <w:right w:val="none" w:sz="0" w:space="0" w:color="auto"/>
          </w:divBdr>
        </w:div>
        <w:div w:id="1425228918">
          <w:marLeft w:val="0"/>
          <w:marRight w:val="0"/>
          <w:marTop w:val="0"/>
          <w:marBottom w:val="101"/>
          <w:divBdr>
            <w:top w:val="none" w:sz="0" w:space="0" w:color="auto"/>
            <w:left w:val="none" w:sz="0" w:space="0" w:color="auto"/>
            <w:bottom w:val="none" w:sz="0" w:space="0" w:color="auto"/>
            <w:right w:val="none" w:sz="0" w:space="0" w:color="auto"/>
          </w:divBdr>
        </w:div>
        <w:div w:id="1425762024">
          <w:marLeft w:val="0"/>
          <w:marRight w:val="0"/>
          <w:marTop w:val="0"/>
          <w:marBottom w:val="101"/>
          <w:divBdr>
            <w:top w:val="none" w:sz="0" w:space="0" w:color="auto"/>
            <w:left w:val="none" w:sz="0" w:space="0" w:color="auto"/>
            <w:bottom w:val="none" w:sz="0" w:space="0" w:color="auto"/>
            <w:right w:val="none" w:sz="0" w:space="0" w:color="auto"/>
          </w:divBdr>
        </w:div>
        <w:div w:id="1439176470">
          <w:marLeft w:val="0"/>
          <w:marRight w:val="0"/>
          <w:marTop w:val="0"/>
          <w:marBottom w:val="101"/>
          <w:divBdr>
            <w:top w:val="none" w:sz="0" w:space="0" w:color="auto"/>
            <w:left w:val="none" w:sz="0" w:space="0" w:color="auto"/>
            <w:bottom w:val="none" w:sz="0" w:space="0" w:color="auto"/>
            <w:right w:val="none" w:sz="0" w:space="0" w:color="auto"/>
          </w:divBdr>
        </w:div>
        <w:div w:id="1446341055">
          <w:marLeft w:val="0"/>
          <w:marRight w:val="0"/>
          <w:marTop w:val="0"/>
          <w:marBottom w:val="101"/>
          <w:divBdr>
            <w:top w:val="none" w:sz="0" w:space="0" w:color="auto"/>
            <w:left w:val="none" w:sz="0" w:space="0" w:color="auto"/>
            <w:bottom w:val="none" w:sz="0" w:space="0" w:color="auto"/>
            <w:right w:val="none" w:sz="0" w:space="0" w:color="auto"/>
          </w:divBdr>
        </w:div>
        <w:div w:id="1473670079">
          <w:marLeft w:val="0"/>
          <w:marRight w:val="0"/>
          <w:marTop w:val="0"/>
          <w:marBottom w:val="101"/>
          <w:divBdr>
            <w:top w:val="none" w:sz="0" w:space="0" w:color="auto"/>
            <w:left w:val="none" w:sz="0" w:space="0" w:color="auto"/>
            <w:bottom w:val="none" w:sz="0" w:space="0" w:color="auto"/>
            <w:right w:val="none" w:sz="0" w:space="0" w:color="auto"/>
          </w:divBdr>
        </w:div>
        <w:div w:id="1492483110">
          <w:marLeft w:val="720"/>
          <w:marRight w:val="0"/>
          <w:marTop w:val="0"/>
          <w:marBottom w:val="101"/>
          <w:divBdr>
            <w:top w:val="none" w:sz="0" w:space="0" w:color="auto"/>
            <w:left w:val="none" w:sz="0" w:space="0" w:color="auto"/>
            <w:bottom w:val="none" w:sz="0" w:space="0" w:color="auto"/>
            <w:right w:val="none" w:sz="0" w:space="0" w:color="auto"/>
          </w:divBdr>
        </w:div>
        <w:div w:id="1504903789">
          <w:marLeft w:val="0"/>
          <w:marRight w:val="0"/>
          <w:marTop w:val="0"/>
          <w:marBottom w:val="101"/>
          <w:divBdr>
            <w:top w:val="none" w:sz="0" w:space="0" w:color="auto"/>
            <w:left w:val="none" w:sz="0" w:space="0" w:color="auto"/>
            <w:bottom w:val="none" w:sz="0" w:space="0" w:color="auto"/>
            <w:right w:val="none" w:sz="0" w:space="0" w:color="auto"/>
          </w:divBdr>
        </w:div>
        <w:div w:id="1515805827">
          <w:marLeft w:val="0"/>
          <w:marRight w:val="0"/>
          <w:marTop w:val="0"/>
          <w:marBottom w:val="101"/>
          <w:divBdr>
            <w:top w:val="none" w:sz="0" w:space="0" w:color="auto"/>
            <w:left w:val="none" w:sz="0" w:space="0" w:color="auto"/>
            <w:bottom w:val="none" w:sz="0" w:space="0" w:color="auto"/>
            <w:right w:val="none" w:sz="0" w:space="0" w:color="auto"/>
          </w:divBdr>
        </w:div>
        <w:div w:id="1523667044">
          <w:marLeft w:val="720"/>
          <w:marRight w:val="0"/>
          <w:marTop w:val="0"/>
          <w:marBottom w:val="101"/>
          <w:divBdr>
            <w:top w:val="none" w:sz="0" w:space="0" w:color="auto"/>
            <w:left w:val="none" w:sz="0" w:space="0" w:color="auto"/>
            <w:bottom w:val="none" w:sz="0" w:space="0" w:color="auto"/>
            <w:right w:val="none" w:sz="0" w:space="0" w:color="auto"/>
          </w:divBdr>
        </w:div>
        <w:div w:id="1534004132">
          <w:marLeft w:val="720"/>
          <w:marRight w:val="0"/>
          <w:marTop w:val="0"/>
          <w:marBottom w:val="90"/>
          <w:divBdr>
            <w:top w:val="none" w:sz="0" w:space="0" w:color="auto"/>
            <w:left w:val="none" w:sz="0" w:space="0" w:color="auto"/>
            <w:bottom w:val="none" w:sz="0" w:space="0" w:color="auto"/>
            <w:right w:val="none" w:sz="0" w:space="0" w:color="auto"/>
          </w:divBdr>
        </w:div>
        <w:div w:id="1545824999">
          <w:marLeft w:val="0"/>
          <w:marRight w:val="0"/>
          <w:marTop w:val="0"/>
          <w:marBottom w:val="101"/>
          <w:divBdr>
            <w:top w:val="none" w:sz="0" w:space="0" w:color="auto"/>
            <w:left w:val="none" w:sz="0" w:space="0" w:color="auto"/>
            <w:bottom w:val="none" w:sz="0" w:space="0" w:color="auto"/>
            <w:right w:val="none" w:sz="0" w:space="0" w:color="auto"/>
          </w:divBdr>
        </w:div>
        <w:div w:id="1556240910">
          <w:marLeft w:val="0"/>
          <w:marRight w:val="0"/>
          <w:marTop w:val="0"/>
          <w:marBottom w:val="101"/>
          <w:divBdr>
            <w:top w:val="none" w:sz="0" w:space="0" w:color="auto"/>
            <w:left w:val="none" w:sz="0" w:space="0" w:color="auto"/>
            <w:bottom w:val="none" w:sz="0" w:space="0" w:color="auto"/>
            <w:right w:val="none" w:sz="0" w:space="0" w:color="auto"/>
          </w:divBdr>
        </w:div>
        <w:div w:id="1574387512">
          <w:marLeft w:val="720"/>
          <w:marRight w:val="0"/>
          <w:marTop w:val="0"/>
          <w:marBottom w:val="60"/>
          <w:divBdr>
            <w:top w:val="none" w:sz="0" w:space="0" w:color="auto"/>
            <w:left w:val="none" w:sz="0" w:space="0" w:color="auto"/>
            <w:bottom w:val="none" w:sz="0" w:space="0" w:color="auto"/>
            <w:right w:val="none" w:sz="0" w:space="0" w:color="auto"/>
          </w:divBdr>
        </w:div>
        <w:div w:id="1605334386">
          <w:marLeft w:val="0"/>
          <w:marRight w:val="0"/>
          <w:marTop w:val="0"/>
          <w:marBottom w:val="101"/>
          <w:divBdr>
            <w:top w:val="none" w:sz="0" w:space="0" w:color="auto"/>
            <w:left w:val="none" w:sz="0" w:space="0" w:color="auto"/>
            <w:bottom w:val="none" w:sz="0" w:space="0" w:color="auto"/>
            <w:right w:val="none" w:sz="0" w:space="0" w:color="auto"/>
          </w:divBdr>
        </w:div>
        <w:div w:id="1613242135">
          <w:marLeft w:val="720"/>
          <w:marRight w:val="0"/>
          <w:marTop w:val="0"/>
          <w:marBottom w:val="60"/>
          <w:divBdr>
            <w:top w:val="none" w:sz="0" w:space="0" w:color="auto"/>
            <w:left w:val="none" w:sz="0" w:space="0" w:color="auto"/>
            <w:bottom w:val="none" w:sz="0" w:space="0" w:color="auto"/>
            <w:right w:val="none" w:sz="0" w:space="0" w:color="auto"/>
          </w:divBdr>
        </w:div>
        <w:div w:id="1618832095">
          <w:marLeft w:val="0"/>
          <w:marRight w:val="0"/>
          <w:marTop w:val="0"/>
          <w:marBottom w:val="101"/>
          <w:divBdr>
            <w:top w:val="none" w:sz="0" w:space="0" w:color="auto"/>
            <w:left w:val="none" w:sz="0" w:space="0" w:color="auto"/>
            <w:bottom w:val="none" w:sz="0" w:space="0" w:color="auto"/>
            <w:right w:val="none" w:sz="0" w:space="0" w:color="auto"/>
          </w:divBdr>
        </w:div>
        <w:div w:id="1620987942">
          <w:marLeft w:val="0"/>
          <w:marRight w:val="0"/>
          <w:marTop w:val="0"/>
          <w:marBottom w:val="101"/>
          <w:divBdr>
            <w:top w:val="none" w:sz="0" w:space="0" w:color="auto"/>
            <w:left w:val="none" w:sz="0" w:space="0" w:color="auto"/>
            <w:bottom w:val="none" w:sz="0" w:space="0" w:color="auto"/>
            <w:right w:val="none" w:sz="0" w:space="0" w:color="auto"/>
          </w:divBdr>
        </w:div>
        <w:div w:id="1623031126">
          <w:marLeft w:val="0"/>
          <w:marRight w:val="0"/>
          <w:marTop w:val="0"/>
          <w:marBottom w:val="101"/>
          <w:divBdr>
            <w:top w:val="none" w:sz="0" w:space="0" w:color="auto"/>
            <w:left w:val="none" w:sz="0" w:space="0" w:color="auto"/>
            <w:bottom w:val="none" w:sz="0" w:space="0" w:color="auto"/>
            <w:right w:val="none" w:sz="0" w:space="0" w:color="auto"/>
          </w:divBdr>
        </w:div>
        <w:div w:id="1626959778">
          <w:marLeft w:val="0"/>
          <w:marRight w:val="0"/>
          <w:marTop w:val="0"/>
          <w:marBottom w:val="101"/>
          <w:divBdr>
            <w:top w:val="none" w:sz="0" w:space="0" w:color="auto"/>
            <w:left w:val="none" w:sz="0" w:space="0" w:color="auto"/>
            <w:bottom w:val="none" w:sz="0" w:space="0" w:color="auto"/>
            <w:right w:val="none" w:sz="0" w:space="0" w:color="auto"/>
          </w:divBdr>
        </w:div>
        <w:div w:id="1637560441">
          <w:marLeft w:val="720"/>
          <w:marRight w:val="0"/>
          <w:marTop w:val="0"/>
          <w:marBottom w:val="60"/>
          <w:divBdr>
            <w:top w:val="none" w:sz="0" w:space="0" w:color="auto"/>
            <w:left w:val="none" w:sz="0" w:space="0" w:color="auto"/>
            <w:bottom w:val="none" w:sz="0" w:space="0" w:color="auto"/>
            <w:right w:val="none" w:sz="0" w:space="0" w:color="auto"/>
          </w:divBdr>
        </w:div>
        <w:div w:id="1639993469">
          <w:marLeft w:val="0"/>
          <w:marRight w:val="0"/>
          <w:marTop w:val="0"/>
          <w:marBottom w:val="101"/>
          <w:divBdr>
            <w:top w:val="none" w:sz="0" w:space="0" w:color="auto"/>
            <w:left w:val="none" w:sz="0" w:space="0" w:color="auto"/>
            <w:bottom w:val="none" w:sz="0" w:space="0" w:color="auto"/>
            <w:right w:val="none" w:sz="0" w:space="0" w:color="auto"/>
          </w:divBdr>
        </w:div>
        <w:div w:id="1642465288">
          <w:marLeft w:val="0"/>
          <w:marRight w:val="0"/>
          <w:marTop w:val="0"/>
          <w:marBottom w:val="101"/>
          <w:divBdr>
            <w:top w:val="none" w:sz="0" w:space="0" w:color="auto"/>
            <w:left w:val="none" w:sz="0" w:space="0" w:color="auto"/>
            <w:bottom w:val="none" w:sz="0" w:space="0" w:color="auto"/>
            <w:right w:val="none" w:sz="0" w:space="0" w:color="auto"/>
          </w:divBdr>
        </w:div>
        <w:div w:id="1671718204">
          <w:marLeft w:val="0"/>
          <w:marRight w:val="0"/>
          <w:marTop w:val="0"/>
          <w:marBottom w:val="101"/>
          <w:divBdr>
            <w:top w:val="none" w:sz="0" w:space="0" w:color="auto"/>
            <w:left w:val="none" w:sz="0" w:space="0" w:color="auto"/>
            <w:bottom w:val="none" w:sz="0" w:space="0" w:color="auto"/>
            <w:right w:val="none" w:sz="0" w:space="0" w:color="auto"/>
          </w:divBdr>
        </w:div>
        <w:div w:id="1672904506">
          <w:marLeft w:val="0"/>
          <w:marRight w:val="0"/>
          <w:marTop w:val="0"/>
          <w:marBottom w:val="90"/>
          <w:divBdr>
            <w:top w:val="none" w:sz="0" w:space="0" w:color="auto"/>
            <w:left w:val="none" w:sz="0" w:space="0" w:color="auto"/>
            <w:bottom w:val="none" w:sz="0" w:space="0" w:color="auto"/>
            <w:right w:val="none" w:sz="0" w:space="0" w:color="auto"/>
          </w:divBdr>
        </w:div>
        <w:div w:id="1693267495">
          <w:marLeft w:val="0"/>
          <w:marRight w:val="0"/>
          <w:marTop w:val="0"/>
          <w:marBottom w:val="101"/>
          <w:divBdr>
            <w:top w:val="none" w:sz="0" w:space="0" w:color="auto"/>
            <w:left w:val="none" w:sz="0" w:space="0" w:color="auto"/>
            <w:bottom w:val="none" w:sz="0" w:space="0" w:color="auto"/>
            <w:right w:val="none" w:sz="0" w:space="0" w:color="auto"/>
          </w:divBdr>
        </w:div>
        <w:div w:id="1699158183">
          <w:marLeft w:val="0"/>
          <w:marRight w:val="0"/>
          <w:marTop w:val="0"/>
          <w:marBottom w:val="101"/>
          <w:divBdr>
            <w:top w:val="none" w:sz="0" w:space="0" w:color="auto"/>
            <w:left w:val="none" w:sz="0" w:space="0" w:color="auto"/>
            <w:bottom w:val="none" w:sz="0" w:space="0" w:color="auto"/>
            <w:right w:val="none" w:sz="0" w:space="0" w:color="auto"/>
          </w:divBdr>
        </w:div>
        <w:div w:id="1699894559">
          <w:marLeft w:val="0"/>
          <w:marRight w:val="0"/>
          <w:marTop w:val="0"/>
          <w:marBottom w:val="101"/>
          <w:divBdr>
            <w:top w:val="none" w:sz="0" w:space="0" w:color="auto"/>
            <w:left w:val="none" w:sz="0" w:space="0" w:color="auto"/>
            <w:bottom w:val="none" w:sz="0" w:space="0" w:color="auto"/>
            <w:right w:val="none" w:sz="0" w:space="0" w:color="auto"/>
          </w:divBdr>
        </w:div>
        <w:div w:id="1710300243">
          <w:marLeft w:val="720"/>
          <w:marRight w:val="0"/>
          <w:marTop w:val="0"/>
          <w:marBottom w:val="90"/>
          <w:divBdr>
            <w:top w:val="none" w:sz="0" w:space="0" w:color="auto"/>
            <w:left w:val="none" w:sz="0" w:space="0" w:color="auto"/>
            <w:bottom w:val="none" w:sz="0" w:space="0" w:color="auto"/>
            <w:right w:val="none" w:sz="0" w:space="0" w:color="auto"/>
          </w:divBdr>
        </w:div>
        <w:div w:id="1729761687">
          <w:marLeft w:val="720"/>
          <w:marRight w:val="0"/>
          <w:marTop w:val="0"/>
          <w:marBottom w:val="60"/>
          <w:divBdr>
            <w:top w:val="none" w:sz="0" w:space="0" w:color="auto"/>
            <w:left w:val="none" w:sz="0" w:space="0" w:color="auto"/>
            <w:bottom w:val="none" w:sz="0" w:space="0" w:color="auto"/>
            <w:right w:val="none" w:sz="0" w:space="0" w:color="auto"/>
          </w:divBdr>
        </w:div>
        <w:div w:id="1733115235">
          <w:marLeft w:val="720"/>
          <w:marRight w:val="0"/>
          <w:marTop w:val="0"/>
          <w:marBottom w:val="90"/>
          <w:divBdr>
            <w:top w:val="none" w:sz="0" w:space="0" w:color="auto"/>
            <w:left w:val="none" w:sz="0" w:space="0" w:color="auto"/>
            <w:bottom w:val="none" w:sz="0" w:space="0" w:color="auto"/>
            <w:right w:val="none" w:sz="0" w:space="0" w:color="auto"/>
          </w:divBdr>
        </w:div>
        <w:div w:id="1735618669">
          <w:marLeft w:val="0"/>
          <w:marRight w:val="0"/>
          <w:marTop w:val="0"/>
          <w:marBottom w:val="101"/>
          <w:divBdr>
            <w:top w:val="none" w:sz="0" w:space="0" w:color="auto"/>
            <w:left w:val="none" w:sz="0" w:space="0" w:color="auto"/>
            <w:bottom w:val="none" w:sz="0" w:space="0" w:color="auto"/>
            <w:right w:val="none" w:sz="0" w:space="0" w:color="auto"/>
          </w:divBdr>
        </w:div>
        <w:div w:id="1748260963">
          <w:marLeft w:val="0"/>
          <w:marRight w:val="0"/>
          <w:marTop w:val="0"/>
          <w:marBottom w:val="101"/>
          <w:divBdr>
            <w:top w:val="none" w:sz="0" w:space="0" w:color="auto"/>
            <w:left w:val="none" w:sz="0" w:space="0" w:color="auto"/>
            <w:bottom w:val="none" w:sz="0" w:space="0" w:color="auto"/>
            <w:right w:val="none" w:sz="0" w:space="0" w:color="auto"/>
          </w:divBdr>
        </w:div>
        <w:div w:id="1753157076">
          <w:marLeft w:val="720"/>
          <w:marRight w:val="0"/>
          <w:marTop w:val="0"/>
          <w:marBottom w:val="101"/>
          <w:divBdr>
            <w:top w:val="none" w:sz="0" w:space="0" w:color="auto"/>
            <w:left w:val="none" w:sz="0" w:space="0" w:color="auto"/>
            <w:bottom w:val="none" w:sz="0" w:space="0" w:color="auto"/>
            <w:right w:val="none" w:sz="0" w:space="0" w:color="auto"/>
          </w:divBdr>
        </w:div>
        <w:div w:id="1772818852">
          <w:marLeft w:val="0"/>
          <w:marRight w:val="0"/>
          <w:marTop w:val="0"/>
          <w:marBottom w:val="101"/>
          <w:divBdr>
            <w:top w:val="none" w:sz="0" w:space="0" w:color="auto"/>
            <w:left w:val="none" w:sz="0" w:space="0" w:color="auto"/>
            <w:bottom w:val="none" w:sz="0" w:space="0" w:color="auto"/>
            <w:right w:val="none" w:sz="0" w:space="0" w:color="auto"/>
          </w:divBdr>
        </w:div>
        <w:div w:id="1786315983">
          <w:marLeft w:val="720"/>
          <w:marRight w:val="0"/>
          <w:marTop w:val="0"/>
          <w:marBottom w:val="101"/>
          <w:divBdr>
            <w:top w:val="none" w:sz="0" w:space="0" w:color="auto"/>
            <w:left w:val="none" w:sz="0" w:space="0" w:color="auto"/>
            <w:bottom w:val="none" w:sz="0" w:space="0" w:color="auto"/>
            <w:right w:val="none" w:sz="0" w:space="0" w:color="auto"/>
          </w:divBdr>
        </w:div>
        <w:div w:id="1792825295">
          <w:marLeft w:val="0"/>
          <w:marRight w:val="0"/>
          <w:marTop w:val="0"/>
          <w:marBottom w:val="101"/>
          <w:divBdr>
            <w:top w:val="none" w:sz="0" w:space="0" w:color="auto"/>
            <w:left w:val="none" w:sz="0" w:space="0" w:color="auto"/>
            <w:bottom w:val="none" w:sz="0" w:space="0" w:color="auto"/>
            <w:right w:val="none" w:sz="0" w:space="0" w:color="auto"/>
          </w:divBdr>
        </w:div>
        <w:div w:id="1799300349">
          <w:marLeft w:val="0"/>
          <w:marRight w:val="0"/>
          <w:marTop w:val="0"/>
          <w:marBottom w:val="60"/>
          <w:divBdr>
            <w:top w:val="none" w:sz="0" w:space="0" w:color="auto"/>
            <w:left w:val="none" w:sz="0" w:space="0" w:color="auto"/>
            <w:bottom w:val="none" w:sz="0" w:space="0" w:color="auto"/>
            <w:right w:val="none" w:sz="0" w:space="0" w:color="auto"/>
          </w:divBdr>
        </w:div>
        <w:div w:id="1804034790">
          <w:marLeft w:val="0"/>
          <w:marRight w:val="0"/>
          <w:marTop w:val="0"/>
          <w:marBottom w:val="101"/>
          <w:divBdr>
            <w:top w:val="none" w:sz="0" w:space="0" w:color="auto"/>
            <w:left w:val="none" w:sz="0" w:space="0" w:color="auto"/>
            <w:bottom w:val="none" w:sz="0" w:space="0" w:color="auto"/>
            <w:right w:val="none" w:sz="0" w:space="0" w:color="auto"/>
          </w:divBdr>
        </w:div>
        <w:div w:id="1808401157">
          <w:marLeft w:val="0"/>
          <w:marRight w:val="0"/>
          <w:marTop w:val="0"/>
          <w:marBottom w:val="101"/>
          <w:divBdr>
            <w:top w:val="none" w:sz="0" w:space="0" w:color="auto"/>
            <w:left w:val="none" w:sz="0" w:space="0" w:color="auto"/>
            <w:bottom w:val="none" w:sz="0" w:space="0" w:color="auto"/>
            <w:right w:val="none" w:sz="0" w:space="0" w:color="auto"/>
          </w:divBdr>
        </w:div>
        <w:div w:id="1823736723">
          <w:marLeft w:val="0"/>
          <w:marRight w:val="0"/>
          <w:marTop w:val="0"/>
          <w:marBottom w:val="101"/>
          <w:divBdr>
            <w:top w:val="none" w:sz="0" w:space="0" w:color="auto"/>
            <w:left w:val="none" w:sz="0" w:space="0" w:color="auto"/>
            <w:bottom w:val="none" w:sz="0" w:space="0" w:color="auto"/>
            <w:right w:val="none" w:sz="0" w:space="0" w:color="auto"/>
          </w:divBdr>
        </w:div>
        <w:div w:id="1838039162">
          <w:marLeft w:val="0"/>
          <w:marRight w:val="0"/>
          <w:marTop w:val="0"/>
          <w:marBottom w:val="101"/>
          <w:divBdr>
            <w:top w:val="none" w:sz="0" w:space="0" w:color="auto"/>
            <w:left w:val="none" w:sz="0" w:space="0" w:color="auto"/>
            <w:bottom w:val="none" w:sz="0" w:space="0" w:color="auto"/>
            <w:right w:val="none" w:sz="0" w:space="0" w:color="auto"/>
          </w:divBdr>
        </w:div>
        <w:div w:id="1844078668">
          <w:marLeft w:val="0"/>
          <w:marRight w:val="0"/>
          <w:marTop w:val="0"/>
          <w:marBottom w:val="101"/>
          <w:divBdr>
            <w:top w:val="none" w:sz="0" w:space="0" w:color="auto"/>
            <w:left w:val="none" w:sz="0" w:space="0" w:color="auto"/>
            <w:bottom w:val="none" w:sz="0" w:space="0" w:color="auto"/>
            <w:right w:val="none" w:sz="0" w:space="0" w:color="auto"/>
          </w:divBdr>
        </w:div>
        <w:div w:id="1855072982">
          <w:marLeft w:val="0"/>
          <w:marRight w:val="0"/>
          <w:marTop w:val="0"/>
          <w:marBottom w:val="101"/>
          <w:divBdr>
            <w:top w:val="none" w:sz="0" w:space="0" w:color="auto"/>
            <w:left w:val="none" w:sz="0" w:space="0" w:color="auto"/>
            <w:bottom w:val="none" w:sz="0" w:space="0" w:color="auto"/>
            <w:right w:val="none" w:sz="0" w:space="0" w:color="auto"/>
          </w:divBdr>
        </w:div>
        <w:div w:id="1857184537">
          <w:marLeft w:val="720"/>
          <w:marRight w:val="0"/>
          <w:marTop w:val="0"/>
          <w:marBottom w:val="101"/>
          <w:divBdr>
            <w:top w:val="none" w:sz="0" w:space="0" w:color="auto"/>
            <w:left w:val="none" w:sz="0" w:space="0" w:color="auto"/>
            <w:bottom w:val="none" w:sz="0" w:space="0" w:color="auto"/>
            <w:right w:val="none" w:sz="0" w:space="0" w:color="auto"/>
          </w:divBdr>
        </w:div>
        <w:div w:id="1867862924">
          <w:marLeft w:val="0"/>
          <w:marRight w:val="0"/>
          <w:marTop w:val="0"/>
          <w:marBottom w:val="101"/>
          <w:divBdr>
            <w:top w:val="none" w:sz="0" w:space="0" w:color="auto"/>
            <w:left w:val="none" w:sz="0" w:space="0" w:color="auto"/>
            <w:bottom w:val="none" w:sz="0" w:space="0" w:color="auto"/>
            <w:right w:val="none" w:sz="0" w:space="0" w:color="auto"/>
          </w:divBdr>
        </w:div>
        <w:div w:id="1878468297">
          <w:marLeft w:val="0"/>
          <w:marRight w:val="0"/>
          <w:marTop w:val="0"/>
          <w:marBottom w:val="101"/>
          <w:divBdr>
            <w:top w:val="none" w:sz="0" w:space="0" w:color="auto"/>
            <w:left w:val="none" w:sz="0" w:space="0" w:color="auto"/>
            <w:bottom w:val="none" w:sz="0" w:space="0" w:color="auto"/>
            <w:right w:val="none" w:sz="0" w:space="0" w:color="auto"/>
          </w:divBdr>
        </w:div>
        <w:div w:id="1881816711">
          <w:marLeft w:val="720"/>
          <w:marRight w:val="0"/>
          <w:marTop w:val="0"/>
          <w:marBottom w:val="90"/>
          <w:divBdr>
            <w:top w:val="none" w:sz="0" w:space="0" w:color="auto"/>
            <w:left w:val="none" w:sz="0" w:space="0" w:color="auto"/>
            <w:bottom w:val="none" w:sz="0" w:space="0" w:color="auto"/>
            <w:right w:val="none" w:sz="0" w:space="0" w:color="auto"/>
          </w:divBdr>
        </w:div>
        <w:div w:id="1892420095">
          <w:marLeft w:val="0"/>
          <w:marRight w:val="0"/>
          <w:marTop w:val="0"/>
          <w:marBottom w:val="101"/>
          <w:divBdr>
            <w:top w:val="none" w:sz="0" w:space="0" w:color="auto"/>
            <w:left w:val="none" w:sz="0" w:space="0" w:color="auto"/>
            <w:bottom w:val="none" w:sz="0" w:space="0" w:color="auto"/>
            <w:right w:val="none" w:sz="0" w:space="0" w:color="auto"/>
          </w:divBdr>
        </w:div>
        <w:div w:id="1896118344">
          <w:marLeft w:val="0"/>
          <w:marRight w:val="0"/>
          <w:marTop w:val="0"/>
          <w:marBottom w:val="101"/>
          <w:divBdr>
            <w:top w:val="none" w:sz="0" w:space="0" w:color="auto"/>
            <w:left w:val="none" w:sz="0" w:space="0" w:color="auto"/>
            <w:bottom w:val="none" w:sz="0" w:space="0" w:color="auto"/>
            <w:right w:val="none" w:sz="0" w:space="0" w:color="auto"/>
          </w:divBdr>
        </w:div>
        <w:div w:id="1898125128">
          <w:marLeft w:val="0"/>
          <w:marRight w:val="0"/>
          <w:marTop w:val="0"/>
          <w:marBottom w:val="60"/>
          <w:divBdr>
            <w:top w:val="none" w:sz="0" w:space="0" w:color="auto"/>
            <w:left w:val="none" w:sz="0" w:space="0" w:color="auto"/>
            <w:bottom w:val="none" w:sz="0" w:space="0" w:color="auto"/>
            <w:right w:val="none" w:sz="0" w:space="0" w:color="auto"/>
          </w:divBdr>
        </w:div>
        <w:div w:id="1898203488">
          <w:marLeft w:val="0"/>
          <w:marRight w:val="0"/>
          <w:marTop w:val="0"/>
          <w:marBottom w:val="101"/>
          <w:divBdr>
            <w:top w:val="none" w:sz="0" w:space="0" w:color="auto"/>
            <w:left w:val="none" w:sz="0" w:space="0" w:color="auto"/>
            <w:bottom w:val="none" w:sz="0" w:space="0" w:color="auto"/>
            <w:right w:val="none" w:sz="0" w:space="0" w:color="auto"/>
          </w:divBdr>
        </w:div>
        <w:div w:id="1906260979">
          <w:marLeft w:val="720"/>
          <w:marRight w:val="0"/>
          <w:marTop w:val="0"/>
          <w:marBottom w:val="101"/>
          <w:divBdr>
            <w:top w:val="none" w:sz="0" w:space="0" w:color="auto"/>
            <w:left w:val="none" w:sz="0" w:space="0" w:color="auto"/>
            <w:bottom w:val="none" w:sz="0" w:space="0" w:color="auto"/>
            <w:right w:val="none" w:sz="0" w:space="0" w:color="auto"/>
          </w:divBdr>
        </w:div>
        <w:div w:id="1912231146">
          <w:marLeft w:val="0"/>
          <w:marRight w:val="0"/>
          <w:marTop w:val="0"/>
          <w:marBottom w:val="60"/>
          <w:divBdr>
            <w:top w:val="none" w:sz="0" w:space="0" w:color="auto"/>
            <w:left w:val="none" w:sz="0" w:space="0" w:color="auto"/>
            <w:bottom w:val="none" w:sz="0" w:space="0" w:color="auto"/>
            <w:right w:val="none" w:sz="0" w:space="0" w:color="auto"/>
          </w:divBdr>
        </w:div>
        <w:div w:id="1916548602">
          <w:marLeft w:val="720"/>
          <w:marRight w:val="0"/>
          <w:marTop w:val="0"/>
          <w:marBottom w:val="101"/>
          <w:divBdr>
            <w:top w:val="none" w:sz="0" w:space="0" w:color="auto"/>
            <w:left w:val="none" w:sz="0" w:space="0" w:color="auto"/>
            <w:bottom w:val="none" w:sz="0" w:space="0" w:color="auto"/>
            <w:right w:val="none" w:sz="0" w:space="0" w:color="auto"/>
          </w:divBdr>
        </w:div>
        <w:div w:id="1933315399">
          <w:marLeft w:val="0"/>
          <w:marRight w:val="0"/>
          <w:marTop w:val="0"/>
          <w:marBottom w:val="101"/>
          <w:divBdr>
            <w:top w:val="none" w:sz="0" w:space="0" w:color="auto"/>
            <w:left w:val="none" w:sz="0" w:space="0" w:color="auto"/>
            <w:bottom w:val="none" w:sz="0" w:space="0" w:color="auto"/>
            <w:right w:val="none" w:sz="0" w:space="0" w:color="auto"/>
          </w:divBdr>
        </w:div>
        <w:div w:id="1934507976">
          <w:marLeft w:val="0"/>
          <w:marRight w:val="0"/>
          <w:marTop w:val="0"/>
          <w:marBottom w:val="101"/>
          <w:divBdr>
            <w:top w:val="none" w:sz="0" w:space="0" w:color="auto"/>
            <w:left w:val="none" w:sz="0" w:space="0" w:color="auto"/>
            <w:bottom w:val="none" w:sz="0" w:space="0" w:color="auto"/>
            <w:right w:val="none" w:sz="0" w:space="0" w:color="auto"/>
          </w:divBdr>
        </w:div>
        <w:div w:id="1936815598">
          <w:marLeft w:val="0"/>
          <w:marRight w:val="0"/>
          <w:marTop w:val="0"/>
          <w:marBottom w:val="101"/>
          <w:divBdr>
            <w:top w:val="none" w:sz="0" w:space="0" w:color="auto"/>
            <w:left w:val="none" w:sz="0" w:space="0" w:color="auto"/>
            <w:bottom w:val="none" w:sz="0" w:space="0" w:color="auto"/>
            <w:right w:val="none" w:sz="0" w:space="0" w:color="auto"/>
          </w:divBdr>
        </w:div>
        <w:div w:id="1938320424">
          <w:marLeft w:val="0"/>
          <w:marRight w:val="0"/>
          <w:marTop w:val="0"/>
          <w:marBottom w:val="101"/>
          <w:divBdr>
            <w:top w:val="none" w:sz="0" w:space="0" w:color="auto"/>
            <w:left w:val="none" w:sz="0" w:space="0" w:color="auto"/>
            <w:bottom w:val="none" w:sz="0" w:space="0" w:color="auto"/>
            <w:right w:val="none" w:sz="0" w:space="0" w:color="auto"/>
          </w:divBdr>
        </w:div>
        <w:div w:id="1942836969">
          <w:marLeft w:val="0"/>
          <w:marRight w:val="0"/>
          <w:marTop w:val="0"/>
          <w:marBottom w:val="101"/>
          <w:divBdr>
            <w:top w:val="none" w:sz="0" w:space="0" w:color="auto"/>
            <w:left w:val="none" w:sz="0" w:space="0" w:color="auto"/>
            <w:bottom w:val="none" w:sz="0" w:space="0" w:color="auto"/>
            <w:right w:val="none" w:sz="0" w:space="0" w:color="auto"/>
          </w:divBdr>
        </w:div>
        <w:div w:id="1943144367">
          <w:marLeft w:val="0"/>
          <w:marRight w:val="0"/>
          <w:marTop w:val="0"/>
          <w:marBottom w:val="101"/>
          <w:divBdr>
            <w:top w:val="none" w:sz="0" w:space="0" w:color="auto"/>
            <w:left w:val="none" w:sz="0" w:space="0" w:color="auto"/>
            <w:bottom w:val="none" w:sz="0" w:space="0" w:color="auto"/>
            <w:right w:val="none" w:sz="0" w:space="0" w:color="auto"/>
          </w:divBdr>
        </w:div>
        <w:div w:id="1945764058">
          <w:marLeft w:val="720"/>
          <w:marRight w:val="0"/>
          <w:marTop w:val="0"/>
          <w:marBottom w:val="90"/>
          <w:divBdr>
            <w:top w:val="none" w:sz="0" w:space="0" w:color="auto"/>
            <w:left w:val="none" w:sz="0" w:space="0" w:color="auto"/>
            <w:bottom w:val="none" w:sz="0" w:space="0" w:color="auto"/>
            <w:right w:val="none" w:sz="0" w:space="0" w:color="auto"/>
          </w:divBdr>
        </w:div>
        <w:div w:id="1950430912">
          <w:marLeft w:val="0"/>
          <w:marRight w:val="0"/>
          <w:marTop w:val="0"/>
          <w:marBottom w:val="101"/>
          <w:divBdr>
            <w:top w:val="none" w:sz="0" w:space="0" w:color="auto"/>
            <w:left w:val="none" w:sz="0" w:space="0" w:color="auto"/>
            <w:bottom w:val="none" w:sz="0" w:space="0" w:color="auto"/>
            <w:right w:val="none" w:sz="0" w:space="0" w:color="auto"/>
          </w:divBdr>
        </w:div>
        <w:div w:id="1951742307">
          <w:marLeft w:val="0"/>
          <w:marRight w:val="0"/>
          <w:marTop w:val="0"/>
          <w:marBottom w:val="60"/>
          <w:divBdr>
            <w:top w:val="none" w:sz="0" w:space="0" w:color="auto"/>
            <w:left w:val="none" w:sz="0" w:space="0" w:color="auto"/>
            <w:bottom w:val="none" w:sz="0" w:space="0" w:color="auto"/>
            <w:right w:val="none" w:sz="0" w:space="0" w:color="auto"/>
          </w:divBdr>
        </w:div>
        <w:div w:id="1958293865">
          <w:marLeft w:val="0"/>
          <w:marRight w:val="0"/>
          <w:marTop w:val="0"/>
          <w:marBottom w:val="101"/>
          <w:divBdr>
            <w:top w:val="none" w:sz="0" w:space="0" w:color="auto"/>
            <w:left w:val="none" w:sz="0" w:space="0" w:color="auto"/>
            <w:bottom w:val="none" w:sz="0" w:space="0" w:color="auto"/>
            <w:right w:val="none" w:sz="0" w:space="0" w:color="auto"/>
          </w:divBdr>
        </w:div>
        <w:div w:id="1972905651">
          <w:marLeft w:val="0"/>
          <w:marRight w:val="0"/>
          <w:marTop w:val="0"/>
          <w:marBottom w:val="101"/>
          <w:divBdr>
            <w:top w:val="none" w:sz="0" w:space="0" w:color="auto"/>
            <w:left w:val="none" w:sz="0" w:space="0" w:color="auto"/>
            <w:bottom w:val="none" w:sz="0" w:space="0" w:color="auto"/>
            <w:right w:val="none" w:sz="0" w:space="0" w:color="auto"/>
          </w:divBdr>
        </w:div>
        <w:div w:id="1974404396">
          <w:marLeft w:val="0"/>
          <w:marRight w:val="0"/>
          <w:marTop w:val="0"/>
          <w:marBottom w:val="101"/>
          <w:divBdr>
            <w:top w:val="none" w:sz="0" w:space="0" w:color="auto"/>
            <w:left w:val="none" w:sz="0" w:space="0" w:color="auto"/>
            <w:bottom w:val="none" w:sz="0" w:space="0" w:color="auto"/>
            <w:right w:val="none" w:sz="0" w:space="0" w:color="auto"/>
          </w:divBdr>
        </w:div>
        <w:div w:id="1977638249">
          <w:marLeft w:val="0"/>
          <w:marRight w:val="0"/>
          <w:marTop w:val="0"/>
          <w:marBottom w:val="101"/>
          <w:divBdr>
            <w:top w:val="none" w:sz="0" w:space="0" w:color="auto"/>
            <w:left w:val="none" w:sz="0" w:space="0" w:color="auto"/>
            <w:bottom w:val="none" w:sz="0" w:space="0" w:color="auto"/>
            <w:right w:val="none" w:sz="0" w:space="0" w:color="auto"/>
          </w:divBdr>
        </w:div>
        <w:div w:id="2006738031">
          <w:marLeft w:val="0"/>
          <w:marRight w:val="0"/>
          <w:marTop w:val="0"/>
          <w:marBottom w:val="90"/>
          <w:divBdr>
            <w:top w:val="none" w:sz="0" w:space="0" w:color="auto"/>
            <w:left w:val="none" w:sz="0" w:space="0" w:color="auto"/>
            <w:bottom w:val="none" w:sz="0" w:space="0" w:color="auto"/>
            <w:right w:val="none" w:sz="0" w:space="0" w:color="auto"/>
          </w:divBdr>
        </w:div>
        <w:div w:id="2013407789">
          <w:marLeft w:val="0"/>
          <w:marRight w:val="0"/>
          <w:marTop w:val="0"/>
          <w:marBottom w:val="101"/>
          <w:divBdr>
            <w:top w:val="none" w:sz="0" w:space="0" w:color="auto"/>
            <w:left w:val="none" w:sz="0" w:space="0" w:color="auto"/>
            <w:bottom w:val="none" w:sz="0" w:space="0" w:color="auto"/>
            <w:right w:val="none" w:sz="0" w:space="0" w:color="auto"/>
          </w:divBdr>
        </w:div>
        <w:div w:id="2027443539">
          <w:marLeft w:val="0"/>
          <w:marRight w:val="0"/>
          <w:marTop w:val="0"/>
          <w:marBottom w:val="101"/>
          <w:divBdr>
            <w:top w:val="none" w:sz="0" w:space="0" w:color="auto"/>
            <w:left w:val="none" w:sz="0" w:space="0" w:color="auto"/>
            <w:bottom w:val="none" w:sz="0" w:space="0" w:color="auto"/>
            <w:right w:val="none" w:sz="0" w:space="0" w:color="auto"/>
          </w:divBdr>
        </w:div>
        <w:div w:id="2040812486">
          <w:marLeft w:val="0"/>
          <w:marRight w:val="0"/>
          <w:marTop w:val="0"/>
          <w:marBottom w:val="101"/>
          <w:divBdr>
            <w:top w:val="none" w:sz="0" w:space="0" w:color="auto"/>
            <w:left w:val="none" w:sz="0" w:space="0" w:color="auto"/>
            <w:bottom w:val="none" w:sz="0" w:space="0" w:color="auto"/>
            <w:right w:val="none" w:sz="0" w:space="0" w:color="auto"/>
          </w:divBdr>
        </w:div>
        <w:div w:id="2054037435">
          <w:marLeft w:val="0"/>
          <w:marRight w:val="0"/>
          <w:marTop w:val="0"/>
          <w:marBottom w:val="101"/>
          <w:divBdr>
            <w:top w:val="none" w:sz="0" w:space="0" w:color="auto"/>
            <w:left w:val="none" w:sz="0" w:space="0" w:color="auto"/>
            <w:bottom w:val="none" w:sz="0" w:space="0" w:color="auto"/>
            <w:right w:val="none" w:sz="0" w:space="0" w:color="auto"/>
          </w:divBdr>
        </w:div>
        <w:div w:id="2061703480">
          <w:marLeft w:val="0"/>
          <w:marRight w:val="0"/>
          <w:marTop w:val="0"/>
          <w:marBottom w:val="101"/>
          <w:divBdr>
            <w:top w:val="none" w:sz="0" w:space="0" w:color="auto"/>
            <w:left w:val="none" w:sz="0" w:space="0" w:color="auto"/>
            <w:bottom w:val="none" w:sz="0" w:space="0" w:color="auto"/>
            <w:right w:val="none" w:sz="0" w:space="0" w:color="auto"/>
          </w:divBdr>
        </w:div>
        <w:div w:id="2070111365">
          <w:marLeft w:val="720"/>
          <w:marRight w:val="0"/>
          <w:marTop w:val="0"/>
          <w:marBottom w:val="101"/>
          <w:divBdr>
            <w:top w:val="none" w:sz="0" w:space="0" w:color="auto"/>
            <w:left w:val="none" w:sz="0" w:space="0" w:color="auto"/>
            <w:bottom w:val="none" w:sz="0" w:space="0" w:color="auto"/>
            <w:right w:val="none" w:sz="0" w:space="0" w:color="auto"/>
          </w:divBdr>
        </w:div>
        <w:div w:id="2083522715">
          <w:marLeft w:val="720"/>
          <w:marRight w:val="0"/>
          <w:marTop w:val="0"/>
          <w:marBottom w:val="101"/>
          <w:divBdr>
            <w:top w:val="none" w:sz="0" w:space="0" w:color="auto"/>
            <w:left w:val="none" w:sz="0" w:space="0" w:color="auto"/>
            <w:bottom w:val="none" w:sz="0" w:space="0" w:color="auto"/>
            <w:right w:val="none" w:sz="0" w:space="0" w:color="auto"/>
          </w:divBdr>
        </w:div>
        <w:div w:id="2084913441">
          <w:marLeft w:val="0"/>
          <w:marRight w:val="0"/>
          <w:marTop w:val="0"/>
          <w:marBottom w:val="101"/>
          <w:divBdr>
            <w:top w:val="none" w:sz="0" w:space="0" w:color="auto"/>
            <w:left w:val="none" w:sz="0" w:space="0" w:color="auto"/>
            <w:bottom w:val="none" w:sz="0" w:space="0" w:color="auto"/>
            <w:right w:val="none" w:sz="0" w:space="0" w:color="auto"/>
          </w:divBdr>
        </w:div>
        <w:div w:id="2086489975">
          <w:marLeft w:val="0"/>
          <w:marRight w:val="0"/>
          <w:marTop w:val="0"/>
          <w:marBottom w:val="101"/>
          <w:divBdr>
            <w:top w:val="none" w:sz="0" w:space="0" w:color="auto"/>
            <w:left w:val="none" w:sz="0" w:space="0" w:color="auto"/>
            <w:bottom w:val="none" w:sz="0" w:space="0" w:color="auto"/>
            <w:right w:val="none" w:sz="0" w:space="0" w:color="auto"/>
          </w:divBdr>
        </w:div>
        <w:div w:id="2090077136">
          <w:marLeft w:val="0"/>
          <w:marRight w:val="0"/>
          <w:marTop w:val="0"/>
          <w:marBottom w:val="101"/>
          <w:divBdr>
            <w:top w:val="none" w:sz="0" w:space="0" w:color="auto"/>
            <w:left w:val="none" w:sz="0" w:space="0" w:color="auto"/>
            <w:bottom w:val="none" w:sz="0" w:space="0" w:color="auto"/>
            <w:right w:val="none" w:sz="0" w:space="0" w:color="auto"/>
          </w:divBdr>
        </w:div>
        <w:div w:id="2094818058">
          <w:marLeft w:val="0"/>
          <w:marRight w:val="0"/>
          <w:marTop w:val="0"/>
          <w:marBottom w:val="60"/>
          <w:divBdr>
            <w:top w:val="none" w:sz="0" w:space="0" w:color="auto"/>
            <w:left w:val="none" w:sz="0" w:space="0" w:color="auto"/>
            <w:bottom w:val="none" w:sz="0" w:space="0" w:color="auto"/>
            <w:right w:val="none" w:sz="0" w:space="0" w:color="auto"/>
          </w:divBdr>
        </w:div>
        <w:div w:id="2099406325">
          <w:marLeft w:val="0"/>
          <w:marRight w:val="0"/>
          <w:marTop w:val="0"/>
          <w:marBottom w:val="101"/>
          <w:divBdr>
            <w:top w:val="none" w:sz="0" w:space="0" w:color="auto"/>
            <w:left w:val="none" w:sz="0" w:space="0" w:color="auto"/>
            <w:bottom w:val="none" w:sz="0" w:space="0" w:color="auto"/>
            <w:right w:val="none" w:sz="0" w:space="0" w:color="auto"/>
          </w:divBdr>
        </w:div>
        <w:div w:id="2101175279">
          <w:marLeft w:val="0"/>
          <w:marRight w:val="0"/>
          <w:marTop w:val="0"/>
          <w:marBottom w:val="60"/>
          <w:divBdr>
            <w:top w:val="none" w:sz="0" w:space="0" w:color="auto"/>
            <w:left w:val="none" w:sz="0" w:space="0" w:color="auto"/>
            <w:bottom w:val="none" w:sz="0" w:space="0" w:color="auto"/>
            <w:right w:val="none" w:sz="0" w:space="0" w:color="auto"/>
          </w:divBdr>
        </w:div>
        <w:div w:id="2102749366">
          <w:marLeft w:val="0"/>
          <w:marRight w:val="0"/>
          <w:marTop w:val="0"/>
          <w:marBottom w:val="60"/>
          <w:divBdr>
            <w:top w:val="none" w:sz="0" w:space="0" w:color="auto"/>
            <w:left w:val="none" w:sz="0" w:space="0" w:color="auto"/>
            <w:bottom w:val="none" w:sz="0" w:space="0" w:color="auto"/>
            <w:right w:val="none" w:sz="0" w:space="0" w:color="auto"/>
          </w:divBdr>
        </w:div>
        <w:div w:id="2119762373">
          <w:marLeft w:val="0"/>
          <w:marRight w:val="0"/>
          <w:marTop w:val="0"/>
          <w:marBottom w:val="60"/>
          <w:divBdr>
            <w:top w:val="none" w:sz="0" w:space="0" w:color="auto"/>
            <w:left w:val="none" w:sz="0" w:space="0" w:color="auto"/>
            <w:bottom w:val="none" w:sz="0" w:space="0" w:color="auto"/>
            <w:right w:val="none" w:sz="0" w:space="0" w:color="auto"/>
          </w:divBdr>
        </w:div>
        <w:div w:id="2131897482">
          <w:marLeft w:val="0"/>
          <w:marRight w:val="0"/>
          <w:marTop w:val="0"/>
          <w:marBottom w:val="101"/>
          <w:divBdr>
            <w:top w:val="none" w:sz="0" w:space="0" w:color="auto"/>
            <w:left w:val="none" w:sz="0" w:space="0" w:color="auto"/>
            <w:bottom w:val="none" w:sz="0" w:space="0" w:color="auto"/>
            <w:right w:val="none" w:sz="0" w:space="0" w:color="auto"/>
          </w:divBdr>
        </w:div>
        <w:div w:id="2135908395">
          <w:marLeft w:val="0"/>
          <w:marRight w:val="0"/>
          <w:marTop w:val="0"/>
          <w:marBottom w:val="60"/>
          <w:divBdr>
            <w:top w:val="none" w:sz="0" w:space="0" w:color="auto"/>
            <w:left w:val="none" w:sz="0" w:space="0" w:color="auto"/>
            <w:bottom w:val="none" w:sz="0" w:space="0" w:color="auto"/>
            <w:right w:val="none" w:sz="0" w:space="0" w:color="auto"/>
          </w:divBdr>
        </w:div>
        <w:div w:id="2141072404">
          <w:marLeft w:val="720"/>
          <w:marRight w:val="0"/>
          <w:marTop w:val="0"/>
          <w:marBottom w:val="101"/>
          <w:divBdr>
            <w:top w:val="none" w:sz="0" w:space="0" w:color="auto"/>
            <w:left w:val="none" w:sz="0" w:space="0" w:color="auto"/>
            <w:bottom w:val="none" w:sz="0" w:space="0" w:color="auto"/>
            <w:right w:val="none" w:sz="0" w:space="0" w:color="auto"/>
          </w:divBdr>
        </w:div>
        <w:div w:id="2141342686">
          <w:marLeft w:val="0"/>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ebweb.org/media/2010/09/TEEB-D2-Local-and-Regional-Quick-guide_Spanish.pdf" TargetMode="External"/><Relationship Id="rId5" Type="http://schemas.openxmlformats.org/officeDocument/2006/relationships/hyperlink" Target="https://dof.gob.mx/nota_detalle.php?codigo=5639498&amp;fecha=28/12/202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3767</Words>
  <Characters>20722</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Reyes Retana De La Torre,</dc:creator>
  <cp:keywords/>
  <dc:description/>
  <cp:lastModifiedBy>Sergio Miguel López Ramírez</cp:lastModifiedBy>
  <cp:revision>5</cp:revision>
  <dcterms:created xsi:type="dcterms:W3CDTF">2022-08-03T17:19:00Z</dcterms:created>
  <dcterms:modified xsi:type="dcterms:W3CDTF">2023-03-23T03:56:00Z</dcterms:modified>
</cp:coreProperties>
</file>