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B050B" w14:textId="77777777" w:rsidR="005B6D6B" w:rsidRPr="00CD7CC5" w:rsidRDefault="005B6D6B" w:rsidP="00CD7CC5">
      <w:pPr>
        <w:jc w:val="center"/>
        <w:rPr>
          <w:rFonts w:ascii="Cambria" w:hAnsi="Cambria"/>
          <w:i/>
          <w:sz w:val="22"/>
          <w:szCs w:val="22"/>
          <w:lang w:val="en-US"/>
        </w:rPr>
      </w:pPr>
    </w:p>
    <w:p w14:paraId="075D68F7" w14:textId="76EF3B51" w:rsidR="005B6D6B" w:rsidRPr="004C65BD" w:rsidRDefault="00286ECA" w:rsidP="00286ECA">
      <w:pPr>
        <w:rPr>
          <w:rFonts w:ascii="Cambria" w:hAnsi="Cambria"/>
          <w:b/>
          <w:sz w:val="22"/>
          <w:szCs w:val="22"/>
        </w:rPr>
      </w:pPr>
      <w:r w:rsidRPr="004C65BD">
        <w:rPr>
          <w:rFonts w:ascii="Cambria" w:hAnsi="Cambria"/>
          <w:b/>
          <w:sz w:val="22"/>
          <w:szCs w:val="22"/>
        </w:rPr>
        <w:t xml:space="preserve">Anexo 17. </w:t>
      </w:r>
      <w:bookmarkStart w:id="0" w:name="_Hlk130414593"/>
      <w:bookmarkStart w:id="1" w:name="_GoBack"/>
      <w:r w:rsidR="004C65BD" w:rsidRPr="004C65BD">
        <w:rPr>
          <w:rFonts w:ascii="Cambria" w:hAnsi="Cambria"/>
          <w:b/>
          <w:sz w:val="22"/>
          <w:szCs w:val="22"/>
        </w:rPr>
        <w:t>Criterios de elegibilidad para la selección de los beneficiarios en el marco de</w:t>
      </w:r>
      <w:r w:rsidR="004C65BD">
        <w:rPr>
          <w:rFonts w:ascii="Cambria" w:hAnsi="Cambria"/>
          <w:b/>
          <w:sz w:val="22"/>
          <w:szCs w:val="22"/>
        </w:rPr>
        <w:t xml:space="preserve"> los resultados </w:t>
      </w:r>
      <w:r w:rsidR="004C65BD" w:rsidRPr="004C65BD">
        <w:rPr>
          <w:rFonts w:ascii="Cambria" w:hAnsi="Cambria"/>
          <w:b/>
          <w:sz w:val="22"/>
          <w:szCs w:val="22"/>
        </w:rPr>
        <w:t>2.2 y 2.3 del componente 2</w:t>
      </w:r>
      <w:bookmarkEnd w:id="0"/>
      <w:bookmarkEnd w:id="1"/>
      <w:r w:rsidR="005B6D6B" w:rsidRPr="004C65BD">
        <w:rPr>
          <w:rFonts w:ascii="Cambria" w:hAnsi="Cambria"/>
          <w:b/>
          <w:sz w:val="22"/>
          <w:szCs w:val="22"/>
        </w:rPr>
        <w:t>;</w:t>
      </w:r>
    </w:p>
    <w:p w14:paraId="259089C6" w14:textId="77777777" w:rsidR="005B6D6B" w:rsidRPr="004C65BD" w:rsidRDefault="005B6D6B" w:rsidP="00CD7CC5">
      <w:pPr>
        <w:jc w:val="both"/>
        <w:rPr>
          <w:rFonts w:ascii="Cambria" w:hAnsi="Cambria"/>
          <w:sz w:val="22"/>
          <w:szCs w:val="22"/>
        </w:rPr>
      </w:pPr>
    </w:p>
    <w:p w14:paraId="350233B1" w14:textId="77777777" w:rsidR="005B6D6B" w:rsidRPr="004C65BD" w:rsidRDefault="005B6D6B" w:rsidP="00CD7CC5">
      <w:pPr>
        <w:jc w:val="both"/>
        <w:rPr>
          <w:rFonts w:ascii="Cambria" w:hAnsi="Cambria"/>
          <w:sz w:val="22"/>
          <w:szCs w:val="22"/>
          <w:lang w:eastAsia="es-MX"/>
        </w:rPr>
      </w:pPr>
    </w:p>
    <w:p w14:paraId="3085E112" w14:textId="77777777" w:rsidR="005B6D6B" w:rsidRPr="00CD7CC5" w:rsidRDefault="005B6D6B" w:rsidP="00CD7CC5">
      <w:pPr>
        <w:jc w:val="both"/>
        <w:rPr>
          <w:rFonts w:ascii="Cambria" w:hAnsi="Cambria"/>
          <w:sz w:val="22"/>
          <w:szCs w:val="22"/>
          <w:lang w:eastAsia="es-MX"/>
        </w:rPr>
      </w:pPr>
      <w:r w:rsidRPr="00286ECA">
        <w:rPr>
          <w:rFonts w:ascii="Cambria" w:hAnsi="Cambria"/>
          <w:b/>
          <w:sz w:val="22"/>
          <w:szCs w:val="22"/>
          <w:lang w:eastAsia="es-MX"/>
        </w:rPr>
        <w:t xml:space="preserve">Output 2.2. </w:t>
      </w:r>
      <w:r w:rsidRPr="00CD7CC5">
        <w:rPr>
          <w:rFonts w:ascii="Cambria" w:hAnsi="Cambria"/>
          <w:sz w:val="22"/>
          <w:szCs w:val="22"/>
          <w:lang w:eastAsia="es-MX"/>
        </w:rPr>
        <w:t>Las inversiones de los programas privados en las cuencas seleccionadas catalizadas hacia la resiliencia climática se han incrementado.</w:t>
      </w:r>
    </w:p>
    <w:p w14:paraId="1B184C3A" w14:textId="77777777" w:rsidR="005B6D6B" w:rsidRPr="00CD7CC5" w:rsidRDefault="005B6D6B" w:rsidP="00CD7CC5">
      <w:pPr>
        <w:jc w:val="both"/>
        <w:rPr>
          <w:rFonts w:ascii="Cambria" w:hAnsi="Cambria"/>
          <w:sz w:val="22"/>
          <w:szCs w:val="22"/>
        </w:rPr>
      </w:pPr>
    </w:p>
    <w:p w14:paraId="0E311B00" w14:textId="019A5F98" w:rsidR="005B6D6B" w:rsidRPr="00CD7CC5" w:rsidRDefault="005B6D6B" w:rsidP="00CD7CC5">
      <w:pPr>
        <w:spacing w:before="120" w:after="120"/>
        <w:jc w:val="both"/>
        <w:rPr>
          <w:rFonts w:ascii="Cambria" w:hAnsi="Cambria"/>
          <w:color w:val="000000"/>
          <w:sz w:val="22"/>
          <w:szCs w:val="22"/>
          <w:lang w:val="es-ES" w:eastAsia="es-MX"/>
        </w:rPr>
      </w:pPr>
      <w:r w:rsidRPr="00CD7CC5">
        <w:rPr>
          <w:rFonts w:ascii="Cambria" w:hAnsi="Cambria"/>
          <w:sz w:val="22"/>
          <w:szCs w:val="22"/>
          <w:lang w:val="es-ES"/>
        </w:rPr>
        <w:t>Para f</w:t>
      </w:r>
      <w:r w:rsidRPr="00CD7CC5">
        <w:rPr>
          <w:rFonts w:ascii="Cambria" w:hAnsi="Cambria"/>
          <w:sz w:val="22"/>
          <w:szCs w:val="22"/>
          <w:lang w:val="es-ES" w:eastAsia="es-MX"/>
        </w:rPr>
        <w:t xml:space="preserve">acilitar la implementación de esquemas que vinculen al sector privado con la restauración de ríos como medida de adaptación, los criterios para seleccionar a las entidades de </w:t>
      </w: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>sector privado serán seleccionados con base a:</w:t>
      </w:r>
      <w:r w:rsidR="003413A1"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 </w:t>
      </w: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 (i) su probada capacidad para brindar financiamiento </w:t>
      </w:r>
      <w:r w:rsidR="003413A1"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preferentemente </w:t>
      </w: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por más de tres años; (ii) vinculación directa como receptores de los servicios ecosistémicos que brindan las comunidades de la cuenca; </w:t>
      </w:r>
      <w:r w:rsidR="003413A1"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(iii) favorezcan la construcción de alianzas, y estructuras regionales, </w:t>
      </w: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>y (i</w:t>
      </w:r>
      <w:r w:rsidR="003413A1" w:rsidRPr="00CD7CC5">
        <w:rPr>
          <w:rFonts w:ascii="Cambria" w:hAnsi="Cambria"/>
          <w:color w:val="000000"/>
          <w:sz w:val="22"/>
          <w:szCs w:val="22"/>
          <w:lang w:val="es-ES" w:eastAsia="es-MX"/>
        </w:rPr>
        <w:t>v</w:t>
      </w: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>) potencial de</w:t>
      </w:r>
      <w:r w:rsidR="003413A1"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 diversificar fuentes financieras, y</w:t>
      </w: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 transformación al alinear los incentivos públicos y privados.</w:t>
      </w:r>
      <w:r w:rsidR="003413A1"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 Para aquellos actores privados que </w:t>
      </w:r>
      <w:r w:rsidR="00FA778F" w:rsidRPr="00CD7CC5">
        <w:rPr>
          <w:rFonts w:ascii="Cambria" w:hAnsi="Cambria"/>
          <w:color w:val="000000"/>
          <w:sz w:val="22"/>
          <w:szCs w:val="22"/>
          <w:lang w:val="es-ES" w:eastAsia="es-MX"/>
        </w:rPr>
        <w:t>contribuyan</w:t>
      </w:r>
      <w:r w:rsidR="003413A1"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 bajo el Esquema 3, adicionalmente deberán cumplir con las condiciones de las Reglas de Operación descritas en el </w:t>
      </w:r>
      <w:hyperlink r:id="rId5" w:anchor="gsc.tab=0" w:history="1">
        <w:r w:rsidR="003413A1" w:rsidRPr="00CD7CC5">
          <w:rPr>
            <w:rStyle w:val="Hipervnculo"/>
            <w:rFonts w:ascii="Cambria" w:hAnsi="Cambria" w:cs="Arial"/>
            <w:bCs/>
            <w:sz w:val="22"/>
            <w:szCs w:val="22"/>
            <w:shd w:val="clear" w:color="auto" w:fill="FFFFFF"/>
            <w:lang w:val="es-ES"/>
          </w:rPr>
          <w:t>Diario Oficial de la Federación</w:t>
        </w:r>
      </w:hyperlink>
      <w:r w:rsidR="003413A1" w:rsidRPr="00CD7CC5">
        <w:rPr>
          <w:rFonts w:ascii="Cambria" w:hAnsi="Cambria" w:cs="Arial"/>
          <w:bCs/>
          <w:color w:val="2F2F2F"/>
          <w:sz w:val="22"/>
          <w:szCs w:val="22"/>
          <w:shd w:val="clear" w:color="auto" w:fill="FFFFFF"/>
          <w:lang w:val="es-ES"/>
        </w:rPr>
        <w:t xml:space="preserve"> y enlistadas en el </w:t>
      </w:r>
      <w:r w:rsidR="003413A1" w:rsidRPr="00286ECA">
        <w:rPr>
          <w:rFonts w:ascii="Cambria" w:hAnsi="Cambria" w:cs="Arial"/>
          <w:b/>
          <w:bCs/>
          <w:color w:val="2F2F2F"/>
          <w:sz w:val="22"/>
          <w:szCs w:val="22"/>
          <w:shd w:val="clear" w:color="auto" w:fill="FFFFFF"/>
          <w:lang w:val="es-ES"/>
        </w:rPr>
        <w:t xml:space="preserve">Anexo </w:t>
      </w:r>
      <w:r w:rsidR="00286ECA" w:rsidRPr="00286ECA">
        <w:rPr>
          <w:rFonts w:ascii="Cambria" w:hAnsi="Cambria" w:cs="Arial"/>
          <w:b/>
          <w:bCs/>
          <w:color w:val="2F2F2F"/>
          <w:sz w:val="22"/>
          <w:szCs w:val="22"/>
          <w:shd w:val="clear" w:color="auto" w:fill="FFFFFF"/>
          <w:lang w:val="es-ES"/>
        </w:rPr>
        <w:t>16</w:t>
      </w:r>
      <w:r w:rsidR="003413A1" w:rsidRPr="00CD7CC5">
        <w:rPr>
          <w:rFonts w:ascii="Cambria" w:hAnsi="Cambria" w:cs="Arial"/>
          <w:bCs/>
          <w:color w:val="2F2F2F"/>
          <w:sz w:val="22"/>
          <w:szCs w:val="22"/>
          <w:shd w:val="clear" w:color="auto" w:fill="FFFFFF"/>
          <w:lang w:val="es-ES"/>
        </w:rPr>
        <w:t xml:space="preserve">. </w:t>
      </w:r>
    </w:p>
    <w:p w14:paraId="0CE57EE2" w14:textId="77777777" w:rsidR="005B6D6B" w:rsidRPr="00CD7CC5" w:rsidRDefault="005B6D6B" w:rsidP="00CD7CC5">
      <w:pPr>
        <w:jc w:val="both"/>
        <w:rPr>
          <w:rFonts w:ascii="Cambria" w:hAnsi="Cambria"/>
          <w:sz w:val="22"/>
          <w:szCs w:val="22"/>
          <w:lang w:val="es-ES"/>
        </w:rPr>
      </w:pPr>
    </w:p>
    <w:p w14:paraId="5B415A33" w14:textId="77777777" w:rsidR="005B6D6B" w:rsidRPr="00CD7CC5" w:rsidRDefault="005B6D6B" w:rsidP="00CD7CC5">
      <w:pPr>
        <w:jc w:val="both"/>
        <w:rPr>
          <w:rFonts w:ascii="Cambria" w:hAnsi="Cambria"/>
          <w:sz w:val="22"/>
          <w:szCs w:val="22"/>
          <w:lang w:val="es-ES" w:eastAsia="es-MX"/>
        </w:rPr>
      </w:pPr>
      <w:r w:rsidRPr="00286ECA">
        <w:rPr>
          <w:rFonts w:ascii="Cambria" w:hAnsi="Cambria"/>
          <w:b/>
          <w:sz w:val="22"/>
          <w:szCs w:val="22"/>
          <w:lang w:val="es-ES" w:eastAsia="es-MX"/>
        </w:rPr>
        <w:t>Output 2.3.</w:t>
      </w:r>
      <w:r w:rsidRPr="00CD7CC5">
        <w:rPr>
          <w:rFonts w:ascii="Cambria" w:hAnsi="Cambria"/>
          <w:sz w:val="22"/>
          <w:szCs w:val="22"/>
          <w:lang w:val="es-ES" w:eastAsia="es-MX"/>
        </w:rPr>
        <w:t xml:space="preserve"> Las líneas de crédito dedicadas y los productos y servicios financieros desarrollados para la resiliencia climática se han incrementado.</w:t>
      </w:r>
    </w:p>
    <w:p w14:paraId="48B88F9D" w14:textId="77777777" w:rsidR="00286ECA" w:rsidRDefault="00286ECA" w:rsidP="000C5548">
      <w:pPr>
        <w:pStyle w:val="NormalWeb"/>
        <w:shd w:val="clear" w:color="auto" w:fill="FFFFFF"/>
        <w:spacing w:before="0" w:beforeAutospacing="0" w:after="120" w:afterAutospacing="0"/>
        <w:rPr>
          <w:rFonts w:ascii="Cambria" w:eastAsia="Times New Roman" w:hAnsi="Cambria"/>
          <w:color w:val="000000"/>
          <w:sz w:val="22"/>
          <w:szCs w:val="22"/>
          <w:lang w:val="es-ES" w:eastAsia="es-MX"/>
        </w:rPr>
      </w:pPr>
    </w:p>
    <w:p w14:paraId="752E35E8" w14:textId="4B3EF136" w:rsidR="00980A8F" w:rsidRPr="00CD7CC5" w:rsidRDefault="00980A8F" w:rsidP="000C5548">
      <w:pPr>
        <w:pStyle w:val="NormalWeb"/>
        <w:shd w:val="clear" w:color="auto" w:fill="FFFFFF"/>
        <w:spacing w:before="0" w:beforeAutospacing="0" w:after="120" w:afterAutospacing="0"/>
        <w:rPr>
          <w:rFonts w:ascii="Cambria" w:eastAsia="Times New Roman" w:hAnsi="Cambria"/>
          <w:color w:val="000000"/>
          <w:sz w:val="22"/>
          <w:szCs w:val="22"/>
          <w:lang w:val="es-ES" w:eastAsia="es-MX"/>
        </w:rPr>
      </w:pP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 xml:space="preserve">Las </w:t>
      </w:r>
      <w:r w:rsidR="005B6D6B"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 xml:space="preserve">instituciones financieras </w:t>
      </w: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 xml:space="preserve">deberán ser o agrupar a una o más:  </w:t>
      </w:r>
    </w:p>
    <w:p w14:paraId="08D70E41" w14:textId="77777777" w:rsidR="00CD7CC5" w:rsidRPr="00CD7CC5" w:rsidRDefault="00CD7CC5" w:rsidP="000C554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/>
        <w:ind w:left="426"/>
        <w:rPr>
          <w:rFonts w:ascii="Cambria" w:eastAsia="Times New Roman" w:hAnsi="Cambria"/>
          <w:color w:val="000000"/>
          <w:sz w:val="22"/>
          <w:szCs w:val="22"/>
          <w:lang w:val="es-ES" w:eastAsia="es-MX"/>
        </w:rPr>
      </w:pP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 xml:space="preserve">Intermediarios financieros bancarios: empresas que intermedian entre los clientes que depositan su dinero en él para ahorrar y los clientes que lo piden prestado incluyendo Banca Privada. </w:t>
      </w:r>
    </w:p>
    <w:p w14:paraId="3D4A8897" w14:textId="77777777" w:rsidR="00CD7CC5" w:rsidRDefault="00CD7CC5" w:rsidP="000C554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/>
        <w:ind w:left="426"/>
        <w:rPr>
          <w:rFonts w:ascii="Cambria" w:eastAsia="Times New Roman" w:hAnsi="Cambria"/>
          <w:color w:val="000000"/>
          <w:sz w:val="22"/>
          <w:szCs w:val="22"/>
          <w:lang w:val="es-ES" w:eastAsia="es-MX"/>
        </w:rPr>
      </w:pP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Sociedades Financieras de Objeto Múltiple (</w:t>
      </w:r>
      <w:r w:rsidR="00980A8F"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SOFOM</w:t>
      </w: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)</w:t>
      </w:r>
      <w:r w:rsidR="00980A8F"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 xml:space="preserve">: son entidades que otorgan créditos o financiamientos de una forma más sencilla y directa en comparación con una entidad bancaria. </w:t>
      </w: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Se dará preferencia a las</w:t>
      </w:r>
      <w:r w:rsidR="00980A8F"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 xml:space="preserve"> reguladas.</w:t>
      </w:r>
    </w:p>
    <w:p w14:paraId="6F66CC70" w14:textId="77777777" w:rsidR="000C5548" w:rsidRPr="000C5548" w:rsidRDefault="000C5548" w:rsidP="000C554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/>
        <w:ind w:left="426"/>
        <w:rPr>
          <w:rFonts w:ascii="Cambria" w:eastAsia="Times New Roman" w:hAnsi="Cambria"/>
          <w:color w:val="000000"/>
          <w:sz w:val="22"/>
          <w:szCs w:val="22"/>
          <w:lang w:val="es-ES" w:eastAsia="es-MX"/>
        </w:rPr>
      </w:pP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Uniones de crédito: Proporcionan servicios financieros exclusivamente a sus socios, los cuales se afilian con una serie de requisitos dictados por cada organización y su participación en acciones.</w:t>
      </w:r>
    </w:p>
    <w:p w14:paraId="55BDDEBF" w14:textId="77777777" w:rsidR="00CD7CC5" w:rsidRPr="00CD7CC5" w:rsidRDefault="00CD7CC5" w:rsidP="000C554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/>
        <w:ind w:left="426"/>
        <w:rPr>
          <w:rFonts w:ascii="Cambria" w:eastAsia="Times New Roman" w:hAnsi="Cambria"/>
          <w:color w:val="000000"/>
          <w:sz w:val="22"/>
          <w:szCs w:val="22"/>
          <w:lang w:val="es-ES" w:eastAsia="es-MX"/>
        </w:rPr>
      </w:pP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 xml:space="preserve">Sociedades Financieras Populares </w:t>
      </w:r>
      <w:r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(</w:t>
      </w:r>
      <w:r w:rsidR="00980A8F"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SOFIPO</w:t>
      </w:r>
      <w:r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)</w:t>
      </w:r>
      <w:r w:rsidR="00980A8F"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: Las Sociedades Financieras Populares son entidades de microfinanzas que operan mediante la autorización de la CNBV, prestan servicios financieros enfocados al cliente o a socios.</w:t>
      </w:r>
    </w:p>
    <w:p w14:paraId="70171B2D" w14:textId="77777777" w:rsidR="00980A8F" w:rsidRPr="00CD7CC5" w:rsidRDefault="00CD7CC5" w:rsidP="000C554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/>
        <w:ind w:left="426"/>
        <w:rPr>
          <w:rFonts w:ascii="Cambria" w:eastAsia="Times New Roman" w:hAnsi="Cambria"/>
          <w:color w:val="000000"/>
          <w:sz w:val="22"/>
          <w:szCs w:val="22"/>
          <w:lang w:val="es-ES" w:eastAsia="es-MX"/>
        </w:rPr>
      </w:pP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Sociedades cooperativas de ahorro y préstamo (</w:t>
      </w:r>
      <w:r w:rsidR="00980A8F"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SOCAPS</w:t>
      </w:r>
      <w:r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)</w:t>
      </w:r>
      <w:r w:rsidR="00980A8F" w:rsidRPr="00CD7CC5">
        <w:rPr>
          <w:rFonts w:ascii="Cambria" w:eastAsia="Times New Roman" w:hAnsi="Cambria"/>
          <w:color w:val="000000"/>
          <w:sz w:val="22"/>
          <w:szCs w:val="22"/>
          <w:lang w:val="es-ES" w:eastAsia="es-MX"/>
        </w:rPr>
        <w:t>: son una forma de organización social integrada por personas que tienen intereses en común y buscan satisfacer sus necesidades financieras.</w:t>
      </w:r>
    </w:p>
    <w:p w14:paraId="417A8CBA" w14:textId="77777777" w:rsidR="00980A8F" w:rsidRPr="00CD7CC5" w:rsidRDefault="00980A8F" w:rsidP="00CD7CC5">
      <w:pPr>
        <w:rPr>
          <w:rFonts w:ascii="Cambria" w:hAnsi="Cambria"/>
          <w:color w:val="000000"/>
          <w:sz w:val="22"/>
          <w:szCs w:val="22"/>
          <w:lang w:val="es-ES" w:eastAsia="es-MX"/>
        </w:rPr>
      </w:pPr>
    </w:p>
    <w:p w14:paraId="15758D52" w14:textId="77777777" w:rsidR="005B6D6B" w:rsidRPr="000C5548" w:rsidRDefault="00980A8F" w:rsidP="00CD7CC5">
      <w:pPr>
        <w:jc w:val="both"/>
        <w:rPr>
          <w:rFonts w:ascii="Cambria" w:hAnsi="Cambria"/>
          <w:color w:val="000000"/>
          <w:sz w:val="22"/>
          <w:szCs w:val="22"/>
          <w:lang w:eastAsia="es-MX"/>
        </w:rPr>
      </w:pP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Adicionalmente, </w:t>
      </w:r>
      <w:r w:rsidR="000C5548">
        <w:rPr>
          <w:rFonts w:ascii="Cambria" w:hAnsi="Cambria"/>
          <w:color w:val="000000"/>
          <w:sz w:val="22"/>
          <w:szCs w:val="22"/>
          <w:lang w:val="es-ES" w:eastAsia="es-MX"/>
        </w:rPr>
        <w:t xml:space="preserve">ante iguales circunstancias </w:t>
      </w: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se dará preferencia a aquellas que tengan: </w:t>
      </w:r>
      <w:r w:rsidR="005B6D6B" w:rsidRPr="00CD7CC5">
        <w:rPr>
          <w:rFonts w:ascii="Cambria" w:hAnsi="Cambria"/>
          <w:color w:val="000000"/>
          <w:sz w:val="22"/>
          <w:szCs w:val="22"/>
          <w:lang w:val="es-ES" w:eastAsia="es-MX"/>
        </w:rPr>
        <w:t>(i) presencia en la región; (ii) experiencia trabajando con pequeños productores rurales; (iii) experiencia demostrada</w:t>
      </w: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>/f</w:t>
      </w:r>
      <w:r w:rsidR="008D09FE" w:rsidRPr="00CD7CC5">
        <w:rPr>
          <w:rFonts w:ascii="Cambria" w:hAnsi="Cambria"/>
          <w:color w:val="000000"/>
          <w:sz w:val="22"/>
          <w:szCs w:val="22"/>
          <w:lang w:val="es-ES" w:eastAsia="es-MX"/>
        </w:rPr>
        <w:t>acilidad de adaptar</w:t>
      </w:r>
      <w:r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 sus productos</w:t>
      </w:r>
      <w:r w:rsidR="008D09FE" w:rsidRPr="00CD7CC5">
        <w:rPr>
          <w:rFonts w:ascii="Cambria" w:hAnsi="Cambria"/>
          <w:color w:val="000000"/>
          <w:sz w:val="22"/>
          <w:szCs w:val="22"/>
          <w:lang w:val="es-ES" w:eastAsia="es-MX"/>
        </w:rPr>
        <w:t xml:space="preserve"> y las condiciones de los préstamos (tipos de interés, plazos de pago, etc.) para que sean vinculados a una serie de indicadores relacionados con la capacidad de adaptación</w:t>
      </w:r>
      <w:r w:rsidR="000C5548">
        <w:rPr>
          <w:rFonts w:ascii="Cambria" w:hAnsi="Cambria"/>
          <w:color w:val="000000"/>
          <w:sz w:val="22"/>
          <w:szCs w:val="22"/>
          <w:lang w:val="es-ES" w:eastAsia="es-MX"/>
        </w:rPr>
        <w:t xml:space="preserve">; y (iv) trabajan con </w:t>
      </w:r>
      <w:r w:rsidR="000C5548" w:rsidRPr="000C5548">
        <w:rPr>
          <w:rFonts w:ascii="Cambria" w:hAnsi="Cambria"/>
          <w:color w:val="000000"/>
          <w:sz w:val="22"/>
          <w:szCs w:val="22"/>
          <w:lang w:val="es-ES" w:eastAsia="es-MX"/>
        </w:rPr>
        <w:t>Fideicomisos Instituidos en Relación con la Agricultura</w:t>
      </w:r>
      <w:r w:rsidR="000C5548">
        <w:rPr>
          <w:rFonts w:ascii="Cambria" w:hAnsi="Cambria"/>
          <w:color w:val="000000"/>
          <w:sz w:val="22"/>
          <w:szCs w:val="22"/>
          <w:lang w:val="es-ES" w:eastAsia="es-MX"/>
        </w:rPr>
        <w:t xml:space="preserve"> (FIRA) de acuerdo a la </w:t>
      </w:r>
      <w:hyperlink r:id="rId6" w:history="1">
        <w:r w:rsidR="000C5548" w:rsidRPr="000C5548">
          <w:rPr>
            <w:rStyle w:val="Hipervnculo"/>
            <w:rFonts w:ascii="Cambria" w:hAnsi="Cambria"/>
            <w:sz w:val="22"/>
            <w:szCs w:val="22"/>
            <w:lang w:val="es-ES" w:eastAsia="es-MX"/>
          </w:rPr>
          <w:t>lista actualizada</w:t>
        </w:r>
      </w:hyperlink>
      <w:r w:rsidR="000C5548">
        <w:rPr>
          <w:rFonts w:ascii="Cambria" w:hAnsi="Cambria"/>
          <w:color w:val="000000"/>
          <w:sz w:val="22"/>
          <w:szCs w:val="22"/>
          <w:lang w:val="es-ES" w:eastAsia="es-MX"/>
        </w:rPr>
        <w:t xml:space="preserve">. </w:t>
      </w:r>
    </w:p>
    <w:p w14:paraId="59BB3CC8" w14:textId="77777777" w:rsidR="008B64F9" w:rsidRPr="005B6D6B" w:rsidRDefault="008B64F9"/>
    <w:sectPr w:rsidR="008B64F9" w:rsidRPr="005B6D6B" w:rsidSect="008127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366E9"/>
    <w:multiLevelType w:val="hybridMultilevel"/>
    <w:tmpl w:val="236E7A68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9EE"/>
    <w:rsid w:val="000B2CDF"/>
    <w:rsid w:val="000C5548"/>
    <w:rsid w:val="00286ECA"/>
    <w:rsid w:val="00320613"/>
    <w:rsid w:val="003413A1"/>
    <w:rsid w:val="004C65BD"/>
    <w:rsid w:val="005B6D6B"/>
    <w:rsid w:val="0081278E"/>
    <w:rsid w:val="008B64F9"/>
    <w:rsid w:val="008D09FE"/>
    <w:rsid w:val="009529CE"/>
    <w:rsid w:val="00980A8F"/>
    <w:rsid w:val="00A80831"/>
    <w:rsid w:val="00C339EE"/>
    <w:rsid w:val="00CD7CC5"/>
    <w:rsid w:val="00D6478B"/>
    <w:rsid w:val="00D8763C"/>
    <w:rsid w:val="00D976A1"/>
    <w:rsid w:val="00ED2CF7"/>
    <w:rsid w:val="00FA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23FF7"/>
  <w15:chartTrackingRefBased/>
  <w15:docId w15:val="{123C7AB3-A04E-5544-8C88-B64D3CA6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7CC5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B6D6B"/>
    <w:pPr>
      <w:spacing w:before="100" w:beforeAutospacing="1" w:after="100" w:afterAutospacing="1"/>
    </w:pPr>
    <w:rPr>
      <w:rFonts w:eastAsiaTheme="minorEastAsia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3413A1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413A1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80A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80A8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80A8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80A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80A8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0A8F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A8F"/>
    <w:rPr>
      <w:rFonts w:ascii="Times New Roman" w:hAnsi="Times New Roman" w:cs="Times New Roman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CD7CC5"/>
    <w:rPr>
      <w:b/>
      <w:bCs/>
    </w:rPr>
  </w:style>
  <w:style w:type="paragraph" w:styleId="Prrafodelista">
    <w:name w:val="List Paragraph"/>
    <w:basedOn w:val="Normal"/>
    <w:uiPriority w:val="34"/>
    <w:qFormat/>
    <w:rsid w:val="00CD7CC5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0C5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ra.gob.mx/Nd/IntemediariosFinancieros.jsp" TargetMode="External"/><Relationship Id="rId5" Type="http://schemas.openxmlformats.org/officeDocument/2006/relationships/hyperlink" Target="https://dof.gob.mx/nota_detalle.php?codigo=5639498&amp;fecha=28/12/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472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 Reyes Retana De La Torre,</dc:creator>
  <cp:keywords/>
  <dc:description/>
  <cp:lastModifiedBy>Sergio Miguel López Ramírez</cp:lastModifiedBy>
  <cp:revision>4</cp:revision>
  <dcterms:created xsi:type="dcterms:W3CDTF">2022-08-20T16:08:00Z</dcterms:created>
  <dcterms:modified xsi:type="dcterms:W3CDTF">2023-03-23T03:56:00Z</dcterms:modified>
</cp:coreProperties>
</file>