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E0B67" w14:textId="33C91418" w:rsidR="00066969" w:rsidRPr="00E71822" w:rsidRDefault="00066969" w:rsidP="00066969">
      <w:pPr>
        <w:pStyle w:val="Ttulo2"/>
        <w:rPr>
          <w:rFonts w:ascii="Monserrat" w:hAnsi="Monserrat"/>
          <w:sz w:val="22"/>
          <w:szCs w:val="22"/>
        </w:rPr>
      </w:pPr>
      <w:bookmarkStart w:id="0" w:name="_Hlk111895111"/>
      <w:r w:rsidRPr="00E71822">
        <w:rPr>
          <w:rFonts w:ascii="Monserrat" w:hAnsi="Monserrat"/>
          <w:sz w:val="22"/>
          <w:szCs w:val="22"/>
        </w:rPr>
        <w:t>An</w:t>
      </w:r>
      <w:r w:rsidR="00E71822">
        <w:rPr>
          <w:rFonts w:ascii="Monserrat" w:hAnsi="Monserrat"/>
          <w:sz w:val="22"/>
          <w:szCs w:val="22"/>
        </w:rPr>
        <w:t>exo</w:t>
      </w:r>
      <w:r w:rsidRPr="00E71822">
        <w:rPr>
          <w:rFonts w:ascii="Monserrat" w:hAnsi="Monserrat"/>
          <w:sz w:val="22"/>
          <w:szCs w:val="22"/>
        </w:rPr>
        <w:t xml:space="preserve"> </w:t>
      </w:r>
      <w:bookmarkStart w:id="1" w:name="_Hlk111895060"/>
      <w:r w:rsidR="00E71822" w:rsidRPr="00E71822">
        <w:rPr>
          <w:rFonts w:ascii="Monserrat" w:hAnsi="Monserrat"/>
          <w:sz w:val="22"/>
          <w:szCs w:val="22"/>
        </w:rPr>
        <w:t>19</w:t>
      </w:r>
      <w:r w:rsidR="00E71822">
        <w:rPr>
          <w:rFonts w:ascii="Monserrat" w:hAnsi="Monserrat"/>
          <w:sz w:val="22"/>
          <w:szCs w:val="22"/>
        </w:rPr>
        <w:t>.</w:t>
      </w:r>
      <w:bookmarkStart w:id="2" w:name="_GoBack"/>
      <w:bookmarkEnd w:id="2"/>
      <w:r w:rsidRPr="00E71822">
        <w:rPr>
          <w:rFonts w:ascii="Monserrat" w:hAnsi="Monserrat"/>
          <w:sz w:val="22"/>
          <w:szCs w:val="22"/>
        </w:rPr>
        <w:t xml:space="preserve"> </w:t>
      </w:r>
      <w:r w:rsidR="00E71822" w:rsidRPr="00E71822">
        <w:rPr>
          <w:rFonts w:ascii="Monserrat" w:hAnsi="Monserrat"/>
          <w:sz w:val="22"/>
          <w:szCs w:val="22"/>
        </w:rPr>
        <w:t>Ruta que contiene el proceso para apoyar el desarrollo de líneas de crédito específicas.</w:t>
      </w:r>
    </w:p>
    <w:bookmarkEnd w:id="0"/>
    <w:bookmarkEnd w:id="1"/>
    <w:p w14:paraId="605141F4" w14:textId="285C21DB" w:rsidR="00DF38CD" w:rsidRPr="00E71822" w:rsidRDefault="00DF38CD" w:rsidP="009D5C67">
      <w:pPr>
        <w:jc w:val="both"/>
        <w:rPr>
          <w:rFonts w:ascii="Calibri" w:eastAsia="Times New Roman" w:hAnsi="Calibri" w:cs="Calibri"/>
          <w:sz w:val="22"/>
          <w:szCs w:val="22"/>
          <w:lang w:eastAsia="es-MX"/>
        </w:rPr>
      </w:pPr>
    </w:p>
    <w:p w14:paraId="48A522A1" w14:textId="6EECE99A" w:rsidR="001E19DD" w:rsidRPr="001E19DD" w:rsidRDefault="001E19DD" w:rsidP="00320EA7">
      <w:pPr>
        <w:jc w:val="both"/>
        <w:rPr>
          <w:rFonts w:ascii="Monserrat" w:hAnsi="Monserrat" w:cstheme="minorHAnsi"/>
          <w:color w:val="000000" w:themeColor="text1"/>
          <w:sz w:val="22"/>
          <w:szCs w:val="22"/>
        </w:rPr>
      </w:pPr>
      <w:r w:rsidRPr="001E19DD">
        <w:rPr>
          <w:rFonts w:ascii="Monserrat" w:hAnsi="Monserrat" w:cstheme="minorHAnsi"/>
          <w:color w:val="000000" w:themeColor="text1"/>
          <w:sz w:val="22"/>
          <w:szCs w:val="22"/>
        </w:rPr>
        <w:t xml:space="preserve">Nuestro objetivo es que tres </w:t>
      </w:r>
      <w:r>
        <w:rPr>
          <w:rFonts w:ascii="Monserrat" w:hAnsi="Monserrat" w:cstheme="minorHAnsi"/>
          <w:color w:val="000000" w:themeColor="text1"/>
          <w:sz w:val="22"/>
          <w:szCs w:val="22"/>
        </w:rPr>
        <w:t>intermediarios financieros reciban entrenamiento integral para desarrollar líneas de crédito climáticamente inteligentes hacia mayo de 202</w:t>
      </w:r>
      <w:r w:rsidR="00C2510A">
        <w:rPr>
          <w:rFonts w:ascii="Monserrat" w:hAnsi="Monserrat" w:cstheme="minorHAnsi"/>
          <w:color w:val="000000" w:themeColor="text1"/>
          <w:sz w:val="22"/>
          <w:szCs w:val="22"/>
        </w:rPr>
        <w:t>4</w:t>
      </w:r>
      <w:r>
        <w:rPr>
          <w:rFonts w:ascii="Monserrat" w:hAnsi="Monserrat" w:cstheme="minorHAnsi"/>
          <w:color w:val="000000" w:themeColor="text1"/>
          <w:sz w:val="22"/>
          <w:szCs w:val="22"/>
        </w:rPr>
        <w:t xml:space="preserve"> y que tres intermediarios financieros desarrollen o mejoren sus líneas de crédito hacia agosto de 2026. </w:t>
      </w:r>
      <w:r w:rsidRPr="001E19DD">
        <w:rPr>
          <w:rFonts w:ascii="Monserrat" w:hAnsi="Monserrat" w:cstheme="minorHAnsi"/>
          <w:color w:val="000000" w:themeColor="text1"/>
          <w:sz w:val="22"/>
          <w:szCs w:val="22"/>
        </w:rPr>
        <w:t>Este mapa de ruta describe los principales actor</w:t>
      </w:r>
      <w:r w:rsidR="00C2510A">
        <w:rPr>
          <w:rFonts w:ascii="Monserrat" w:hAnsi="Monserrat" w:cstheme="minorHAnsi"/>
          <w:color w:val="000000" w:themeColor="text1"/>
          <w:sz w:val="22"/>
          <w:szCs w:val="22"/>
        </w:rPr>
        <w:t>e</w:t>
      </w:r>
      <w:r w:rsidRPr="001E19DD">
        <w:rPr>
          <w:rFonts w:ascii="Monserrat" w:hAnsi="Monserrat" w:cstheme="minorHAnsi"/>
          <w:color w:val="000000" w:themeColor="text1"/>
          <w:sz w:val="22"/>
          <w:szCs w:val="22"/>
        </w:rPr>
        <w:t>s para a</w:t>
      </w:r>
      <w:r>
        <w:rPr>
          <w:rFonts w:ascii="Monserrat" w:hAnsi="Monserrat" w:cstheme="minorHAnsi"/>
          <w:color w:val="000000" w:themeColor="text1"/>
          <w:sz w:val="22"/>
          <w:szCs w:val="22"/>
        </w:rPr>
        <w:t>lcanzar los objetivos y las acciones que se deben seguir para ello (Anexo 1)</w:t>
      </w:r>
    </w:p>
    <w:p w14:paraId="5150B711" w14:textId="77777777" w:rsidR="001E19DD" w:rsidRPr="001E19DD" w:rsidRDefault="001E19DD" w:rsidP="00320EA7">
      <w:pPr>
        <w:jc w:val="both"/>
        <w:rPr>
          <w:rFonts w:ascii="Monserrat" w:hAnsi="Monserrat" w:cstheme="minorHAnsi"/>
          <w:color w:val="000000" w:themeColor="text1"/>
          <w:sz w:val="22"/>
          <w:szCs w:val="22"/>
        </w:rPr>
      </w:pPr>
    </w:p>
    <w:p w14:paraId="6A42FBF6" w14:textId="0FC70CDE" w:rsidR="004E27C4" w:rsidRPr="004E27C4" w:rsidRDefault="00C2510A" w:rsidP="00411DA8">
      <w:pPr>
        <w:jc w:val="both"/>
        <w:rPr>
          <w:rFonts w:cstheme="minorHAnsi"/>
          <w:sz w:val="22"/>
          <w:szCs w:val="22"/>
        </w:rPr>
      </w:pPr>
      <w:r w:rsidRPr="004E27C4">
        <w:rPr>
          <w:rFonts w:ascii="Calibri" w:eastAsia="Times New Roman" w:hAnsi="Calibri" w:cs="Calibri"/>
          <w:b/>
          <w:sz w:val="22"/>
          <w:szCs w:val="22"/>
          <w:lang w:eastAsia="es-MX"/>
        </w:rPr>
        <w:t>Los intermediarios financieros o instituciones financieras</w:t>
      </w:r>
      <w:r w:rsidRPr="004E27C4">
        <w:rPr>
          <w:rFonts w:ascii="Monserrat" w:hAnsi="Monserrat" w:cstheme="minorHAnsi"/>
          <w:color w:val="000000" w:themeColor="text1"/>
          <w:sz w:val="22"/>
          <w:szCs w:val="22"/>
        </w:rPr>
        <w:t xml:space="preserve"> se seleccionarán con base en (i) presencia en la región; (</w:t>
      </w:r>
      <w:proofErr w:type="spellStart"/>
      <w:r w:rsidRPr="004E27C4">
        <w:rPr>
          <w:rFonts w:ascii="Monserrat" w:hAnsi="Monserrat" w:cstheme="minorHAnsi"/>
          <w:color w:val="000000" w:themeColor="text1"/>
          <w:sz w:val="22"/>
          <w:szCs w:val="22"/>
        </w:rPr>
        <w:t>ii</w:t>
      </w:r>
      <w:proofErr w:type="spellEnd"/>
      <w:r w:rsidRPr="004E27C4">
        <w:rPr>
          <w:rFonts w:ascii="Monserrat" w:hAnsi="Monserrat" w:cstheme="minorHAnsi"/>
          <w:color w:val="000000" w:themeColor="text1"/>
          <w:sz w:val="22"/>
          <w:szCs w:val="22"/>
        </w:rPr>
        <w:t>) experiencia trabajando con pequeños productores rurales; y (</w:t>
      </w:r>
      <w:proofErr w:type="spellStart"/>
      <w:r w:rsidRPr="004E27C4">
        <w:rPr>
          <w:rFonts w:ascii="Monserrat" w:hAnsi="Monserrat" w:cstheme="minorHAnsi"/>
          <w:color w:val="000000" w:themeColor="text1"/>
          <w:sz w:val="22"/>
          <w:szCs w:val="22"/>
        </w:rPr>
        <w:t>iii</w:t>
      </w:r>
      <w:proofErr w:type="spellEnd"/>
      <w:r w:rsidRPr="004E27C4">
        <w:rPr>
          <w:rFonts w:ascii="Monserrat" w:hAnsi="Monserrat" w:cstheme="minorHAnsi"/>
          <w:color w:val="000000" w:themeColor="text1"/>
          <w:sz w:val="22"/>
          <w:szCs w:val="22"/>
        </w:rPr>
        <w:t xml:space="preserve">) experiencia demostrada en la adaptación de productos financieros a productores sostenibles. Estos son los Criterios iniciales, que se </w:t>
      </w:r>
      <w:r w:rsidR="00F60778" w:rsidRPr="004E27C4">
        <w:rPr>
          <w:rFonts w:ascii="Monserrat" w:hAnsi="Monserrat" w:cstheme="minorHAnsi"/>
          <w:color w:val="000000" w:themeColor="text1"/>
          <w:sz w:val="22"/>
          <w:szCs w:val="22"/>
        </w:rPr>
        <w:t>afinarán</w:t>
      </w:r>
      <w:r w:rsidRPr="004E27C4">
        <w:rPr>
          <w:rFonts w:ascii="Monserrat" w:hAnsi="Monserrat" w:cstheme="minorHAnsi"/>
          <w:color w:val="000000" w:themeColor="text1"/>
          <w:sz w:val="22"/>
          <w:szCs w:val="22"/>
        </w:rPr>
        <w:t xml:space="preserve"> </w:t>
      </w:r>
      <w:r w:rsidR="00F60778" w:rsidRPr="004E27C4">
        <w:rPr>
          <w:rFonts w:ascii="Monserrat" w:hAnsi="Monserrat" w:cstheme="minorHAnsi"/>
          <w:color w:val="000000" w:themeColor="text1"/>
          <w:sz w:val="22"/>
          <w:szCs w:val="22"/>
        </w:rPr>
        <w:t>a través de</w:t>
      </w:r>
      <w:r w:rsidRPr="004E27C4">
        <w:rPr>
          <w:rFonts w:ascii="Monserrat" w:hAnsi="Monserrat" w:cstheme="minorHAnsi"/>
          <w:color w:val="000000" w:themeColor="text1"/>
          <w:sz w:val="22"/>
          <w:szCs w:val="22"/>
        </w:rPr>
        <w:t xml:space="preserve"> una </w:t>
      </w:r>
      <w:r w:rsidR="00F60778" w:rsidRPr="004E27C4">
        <w:rPr>
          <w:rFonts w:ascii="Monserrat" w:hAnsi="Monserrat" w:cstheme="minorHAnsi"/>
          <w:color w:val="000000" w:themeColor="text1"/>
          <w:sz w:val="22"/>
          <w:szCs w:val="22"/>
        </w:rPr>
        <w:t>C</w:t>
      </w:r>
      <w:r w:rsidRPr="004E27C4">
        <w:rPr>
          <w:rFonts w:ascii="Monserrat" w:hAnsi="Monserrat" w:cstheme="minorHAnsi"/>
          <w:color w:val="000000" w:themeColor="text1"/>
          <w:sz w:val="22"/>
          <w:szCs w:val="22"/>
        </w:rPr>
        <w:t>onsulto</w:t>
      </w:r>
      <w:r w:rsidR="00411DA8" w:rsidRPr="004E27C4">
        <w:rPr>
          <w:rFonts w:ascii="Monserrat" w:hAnsi="Monserrat" w:cstheme="minorHAnsi"/>
          <w:color w:val="000000" w:themeColor="text1"/>
          <w:sz w:val="22"/>
          <w:szCs w:val="22"/>
        </w:rPr>
        <w:t>ra</w:t>
      </w:r>
      <w:r w:rsidRPr="004E27C4">
        <w:rPr>
          <w:rFonts w:ascii="Monserrat" w:hAnsi="Monserrat" w:cstheme="minorHAnsi"/>
          <w:color w:val="000000" w:themeColor="text1"/>
          <w:sz w:val="22"/>
          <w:szCs w:val="22"/>
        </w:rPr>
        <w:t xml:space="preserve"> </w:t>
      </w:r>
      <w:r w:rsidR="00F60778" w:rsidRPr="004E27C4">
        <w:rPr>
          <w:rFonts w:ascii="Monserrat" w:hAnsi="Monserrat" w:cstheme="minorHAnsi"/>
          <w:color w:val="000000" w:themeColor="text1"/>
          <w:sz w:val="22"/>
          <w:szCs w:val="22"/>
        </w:rPr>
        <w:t>E</w:t>
      </w:r>
      <w:r w:rsidRPr="004E27C4">
        <w:rPr>
          <w:rFonts w:ascii="Monserrat" w:hAnsi="Monserrat" w:cstheme="minorHAnsi"/>
          <w:color w:val="000000" w:themeColor="text1"/>
          <w:sz w:val="22"/>
          <w:szCs w:val="22"/>
        </w:rPr>
        <w:t>specializada.</w:t>
      </w:r>
      <w:r w:rsidR="004E27C4" w:rsidRPr="004E27C4">
        <w:rPr>
          <w:rFonts w:ascii="Monserrat" w:hAnsi="Monserrat" w:cstheme="minorHAnsi"/>
          <w:color w:val="000000" w:themeColor="text1"/>
          <w:sz w:val="22"/>
          <w:szCs w:val="22"/>
        </w:rPr>
        <w:t xml:space="preserve"> </w:t>
      </w:r>
      <w:r w:rsidR="004E27C4" w:rsidRPr="004E27C4">
        <w:rPr>
          <w:rFonts w:cstheme="minorHAnsi"/>
          <w:b/>
          <w:sz w:val="22"/>
          <w:szCs w:val="22"/>
        </w:rPr>
        <w:t>Tabla 1</w:t>
      </w:r>
      <w:r w:rsidR="004E27C4" w:rsidRPr="004E27C4">
        <w:rPr>
          <w:rFonts w:cstheme="minorHAnsi"/>
          <w:sz w:val="22"/>
          <w:szCs w:val="22"/>
        </w:rPr>
        <w:t xml:space="preserve"> presenta a los Intermediarios e instituciones financieras identificadas en la línea base que trabajan en las cuencas del proyecto. Esta lista será extendida por la Consultora Especializada. </w:t>
      </w:r>
    </w:p>
    <w:p w14:paraId="588D74DB" w14:textId="77777777" w:rsidR="00C2510A" w:rsidRPr="00E71822" w:rsidRDefault="00C2510A" w:rsidP="00864293">
      <w:pPr>
        <w:spacing w:before="120" w:after="120"/>
        <w:jc w:val="both"/>
        <w:rPr>
          <w:rFonts w:ascii="Monserrat" w:hAnsi="Monserrat"/>
          <w:b/>
        </w:rPr>
      </w:pPr>
    </w:p>
    <w:p w14:paraId="76352B2B" w14:textId="0E28FDDE" w:rsidR="00730640" w:rsidRPr="004E27C4" w:rsidRDefault="00711EF3" w:rsidP="00730640">
      <w:pPr>
        <w:jc w:val="both"/>
        <w:rPr>
          <w:rFonts w:ascii="Calibri" w:eastAsia="Times New Roman" w:hAnsi="Calibri" w:cs="Calibri"/>
          <w:sz w:val="22"/>
          <w:szCs w:val="22"/>
          <w:lang w:eastAsia="es-MX"/>
        </w:rPr>
      </w:pPr>
      <w:r w:rsidRPr="004E27C4">
        <w:rPr>
          <w:rFonts w:ascii="Calibri" w:eastAsia="Times New Roman" w:hAnsi="Calibri" w:cs="Calibri"/>
          <w:b/>
          <w:sz w:val="22"/>
          <w:szCs w:val="22"/>
          <w:lang w:eastAsia="es-MX"/>
        </w:rPr>
        <w:t>Consultora Especializada.</w:t>
      </w:r>
      <w:r w:rsidRPr="004E27C4">
        <w:rPr>
          <w:rFonts w:ascii="Calibri" w:eastAsia="Times New Roman" w:hAnsi="Calibri" w:cs="Calibri"/>
          <w:sz w:val="22"/>
          <w:szCs w:val="22"/>
          <w:lang w:eastAsia="es-MX"/>
        </w:rPr>
        <w:t xml:space="preserve"> </w:t>
      </w:r>
      <w:r w:rsidR="009D5C67" w:rsidRPr="004E27C4">
        <w:rPr>
          <w:rFonts w:ascii="Calibri" w:eastAsia="Times New Roman" w:hAnsi="Calibri" w:cs="Calibri"/>
          <w:sz w:val="22"/>
          <w:szCs w:val="22"/>
          <w:lang w:eastAsia="es-MX"/>
        </w:rPr>
        <w:t xml:space="preserve">Para el alcance de las metas planteadas, durante el tercer y cuarto trimestre de 2022 </w:t>
      </w:r>
      <w:r w:rsidR="00320EA7" w:rsidRPr="004E27C4">
        <w:rPr>
          <w:rFonts w:ascii="Calibri" w:eastAsia="Times New Roman" w:hAnsi="Calibri" w:cs="Calibri"/>
          <w:sz w:val="22"/>
          <w:szCs w:val="22"/>
          <w:lang w:eastAsia="es-MX"/>
        </w:rPr>
        <w:t xml:space="preserve">FMCN desarrollará </w:t>
      </w:r>
      <w:r w:rsidRPr="004E27C4">
        <w:rPr>
          <w:rFonts w:ascii="Calibri" w:eastAsia="Times New Roman" w:hAnsi="Calibri" w:cs="Calibri"/>
          <w:sz w:val="22"/>
          <w:szCs w:val="22"/>
          <w:lang w:eastAsia="es-MX"/>
        </w:rPr>
        <w:t xml:space="preserve">y publicará </w:t>
      </w:r>
      <w:r w:rsidR="009D5C67" w:rsidRPr="004E27C4">
        <w:rPr>
          <w:rFonts w:ascii="Calibri" w:eastAsia="Times New Roman" w:hAnsi="Calibri" w:cs="Calibri"/>
          <w:sz w:val="22"/>
          <w:szCs w:val="22"/>
          <w:lang w:eastAsia="es-MX"/>
        </w:rPr>
        <w:t xml:space="preserve">los Términos de </w:t>
      </w:r>
      <w:r w:rsidRPr="004E27C4">
        <w:rPr>
          <w:rFonts w:ascii="Calibri" w:eastAsia="Times New Roman" w:hAnsi="Calibri" w:cs="Calibri"/>
          <w:sz w:val="22"/>
          <w:szCs w:val="22"/>
          <w:lang w:eastAsia="es-MX"/>
        </w:rPr>
        <w:t>R</w:t>
      </w:r>
      <w:r w:rsidR="009D5C67" w:rsidRPr="004E27C4">
        <w:rPr>
          <w:rFonts w:ascii="Calibri" w:eastAsia="Times New Roman" w:hAnsi="Calibri" w:cs="Calibri"/>
          <w:sz w:val="22"/>
          <w:szCs w:val="22"/>
          <w:lang w:eastAsia="es-MX"/>
        </w:rPr>
        <w:t>eferencia</w:t>
      </w:r>
      <w:r w:rsidRPr="004E27C4">
        <w:rPr>
          <w:rFonts w:ascii="Calibri" w:eastAsia="Times New Roman" w:hAnsi="Calibri" w:cs="Calibri"/>
          <w:sz w:val="22"/>
          <w:szCs w:val="22"/>
          <w:lang w:eastAsia="es-MX"/>
        </w:rPr>
        <w:t xml:space="preserve"> </w:t>
      </w:r>
      <w:r w:rsidR="009D5C67" w:rsidRPr="004E27C4">
        <w:rPr>
          <w:rFonts w:ascii="Calibri" w:eastAsia="Times New Roman" w:hAnsi="Calibri" w:cs="Calibri"/>
          <w:sz w:val="22"/>
          <w:szCs w:val="22"/>
          <w:lang w:eastAsia="es-MX"/>
        </w:rPr>
        <w:t xml:space="preserve">para seleccionar y contratar a </w:t>
      </w:r>
      <w:r w:rsidR="007C2B66" w:rsidRPr="004E27C4">
        <w:rPr>
          <w:rFonts w:ascii="Calibri" w:eastAsia="Times New Roman" w:hAnsi="Calibri" w:cs="Calibri"/>
          <w:sz w:val="22"/>
          <w:szCs w:val="22"/>
          <w:lang w:eastAsia="es-MX"/>
        </w:rPr>
        <w:t xml:space="preserve">una </w:t>
      </w:r>
      <w:r w:rsidR="009D5C67" w:rsidRPr="004E27C4">
        <w:rPr>
          <w:rFonts w:ascii="Calibri" w:eastAsia="Times New Roman" w:hAnsi="Calibri" w:cs="Calibri"/>
          <w:sz w:val="22"/>
          <w:szCs w:val="22"/>
          <w:lang w:eastAsia="es-MX"/>
        </w:rPr>
        <w:t>empresa consultora</w:t>
      </w:r>
      <w:r w:rsidR="00A03EAD" w:rsidRPr="004E27C4">
        <w:rPr>
          <w:rFonts w:ascii="Calibri" w:eastAsia="Times New Roman" w:hAnsi="Calibri" w:cs="Calibri"/>
          <w:sz w:val="22"/>
          <w:szCs w:val="22"/>
          <w:lang w:eastAsia="es-MX"/>
        </w:rPr>
        <w:t xml:space="preserve"> especializada en el desarrollo de productos financieros orientados a tecnologías climáticas y productivas </w:t>
      </w:r>
      <w:r w:rsidR="00730640" w:rsidRPr="004E27C4">
        <w:rPr>
          <w:rFonts w:ascii="Calibri" w:eastAsia="Times New Roman" w:hAnsi="Calibri" w:cs="Calibri"/>
          <w:sz w:val="22"/>
          <w:szCs w:val="22"/>
          <w:lang w:eastAsia="es-MX"/>
        </w:rPr>
        <w:t>y</w:t>
      </w:r>
      <w:r w:rsidR="009D5C67" w:rsidRPr="004E27C4">
        <w:rPr>
          <w:rFonts w:ascii="Calibri" w:eastAsia="Times New Roman" w:hAnsi="Calibri" w:cs="Calibri"/>
          <w:sz w:val="22"/>
          <w:szCs w:val="22"/>
          <w:lang w:eastAsia="es-MX"/>
        </w:rPr>
        <w:t>, con el objetivo de que inicie las actividades durante los primeros meses de 2023.</w:t>
      </w:r>
      <w:r w:rsidR="00D4308D" w:rsidRPr="004E27C4">
        <w:rPr>
          <w:rFonts w:ascii="Calibri" w:eastAsia="Times New Roman" w:hAnsi="Calibri" w:cs="Calibri"/>
          <w:sz w:val="22"/>
          <w:szCs w:val="22"/>
          <w:lang w:eastAsia="es-MX"/>
        </w:rPr>
        <w:t xml:space="preserve"> </w:t>
      </w:r>
      <w:r w:rsidR="00730640" w:rsidRPr="004E27C4">
        <w:rPr>
          <w:rFonts w:ascii="Calibri" w:eastAsia="Times New Roman" w:hAnsi="Calibri" w:cs="Calibri"/>
          <w:sz w:val="22"/>
          <w:szCs w:val="22"/>
          <w:lang w:eastAsia="es-MX"/>
        </w:rPr>
        <w:t>La consultoría entregará los primeros resultados del diagnóstico (relativo a los potenciales intermediarios financieros, productos existentes</w:t>
      </w:r>
      <w:r w:rsidR="004E27C4" w:rsidRPr="004E27C4">
        <w:rPr>
          <w:rFonts w:ascii="Calibri" w:eastAsia="Times New Roman" w:hAnsi="Calibri" w:cs="Calibri"/>
          <w:sz w:val="22"/>
          <w:szCs w:val="22"/>
          <w:lang w:eastAsia="es-MX"/>
        </w:rPr>
        <w:t>, información de mercado de instituciones financieras,</w:t>
      </w:r>
      <w:r w:rsidR="00730640" w:rsidRPr="004E27C4">
        <w:rPr>
          <w:rFonts w:ascii="Calibri" w:eastAsia="Times New Roman" w:hAnsi="Calibri" w:cs="Calibri"/>
          <w:sz w:val="22"/>
          <w:szCs w:val="22"/>
          <w:lang w:eastAsia="es-MX"/>
        </w:rPr>
        <w:t xml:space="preserve"> y propuesta del plan de formación) durante el primer </w:t>
      </w:r>
      <w:r w:rsidR="004E27C4" w:rsidRPr="004E27C4">
        <w:rPr>
          <w:rFonts w:ascii="Calibri" w:eastAsia="Times New Roman" w:hAnsi="Calibri" w:cs="Calibri"/>
          <w:sz w:val="22"/>
          <w:szCs w:val="22"/>
          <w:lang w:eastAsia="es-MX"/>
        </w:rPr>
        <w:t>semestre</w:t>
      </w:r>
      <w:r w:rsidR="00730640" w:rsidRPr="004E27C4">
        <w:rPr>
          <w:rFonts w:ascii="Calibri" w:eastAsia="Times New Roman" w:hAnsi="Calibri" w:cs="Calibri"/>
          <w:sz w:val="22"/>
          <w:szCs w:val="22"/>
          <w:lang w:eastAsia="es-MX"/>
        </w:rPr>
        <w:t xml:space="preserve"> de 2023. Pretendemos que en el segundo </w:t>
      </w:r>
      <w:r w:rsidR="004E27C4" w:rsidRPr="004E27C4">
        <w:rPr>
          <w:rFonts w:ascii="Calibri" w:eastAsia="Times New Roman" w:hAnsi="Calibri" w:cs="Calibri"/>
          <w:sz w:val="22"/>
          <w:szCs w:val="22"/>
          <w:lang w:eastAsia="es-MX"/>
        </w:rPr>
        <w:t>semestre</w:t>
      </w:r>
      <w:r w:rsidR="00730640" w:rsidRPr="004E27C4">
        <w:rPr>
          <w:rFonts w:ascii="Calibri" w:eastAsia="Times New Roman" w:hAnsi="Calibri" w:cs="Calibri"/>
          <w:sz w:val="22"/>
          <w:szCs w:val="22"/>
          <w:lang w:eastAsia="es-MX"/>
        </w:rPr>
        <w:t xml:space="preserve"> de 2023 tengamos acercamientos formales con los Intermediarios Financieros (IF) con los que se establecerán acuerdos de colaboración para implementar las capacitaciones requeridas para el desarrollo de los productos financieros. Esperamos que estos se encuentren disponibles para inicio de 2025 y operen al menos 18 meses (hasta el cierre del proyecto).</w:t>
      </w:r>
    </w:p>
    <w:p w14:paraId="6CC506B8" w14:textId="566D0859" w:rsidR="009D5C67" w:rsidRDefault="009D5C67" w:rsidP="009D5C67">
      <w:pPr>
        <w:jc w:val="both"/>
        <w:rPr>
          <w:rFonts w:ascii="Calibri" w:eastAsia="Times New Roman" w:hAnsi="Calibri" w:cs="Calibri"/>
          <w:sz w:val="22"/>
          <w:szCs w:val="22"/>
          <w:lang w:eastAsia="es-MX"/>
        </w:rPr>
      </w:pPr>
    </w:p>
    <w:p w14:paraId="0820868F" w14:textId="7708E737" w:rsidR="006943E5" w:rsidRPr="009D5C67" w:rsidRDefault="009D5C67">
      <w:pPr>
        <w:jc w:val="both"/>
        <w:rPr>
          <w:rFonts w:ascii="Calibri" w:eastAsia="Times New Roman" w:hAnsi="Calibri" w:cs="Calibri"/>
          <w:sz w:val="22"/>
          <w:szCs w:val="22"/>
          <w:lang w:eastAsia="es-MX"/>
        </w:rPr>
      </w:pPr>
      <w:r w:rsidRPr="00864293">
        <w:rPr>
          <w:rFonts w:ascii="Calibri" w:eastAsia="Times New Roman" w:hAnsi="Calibri" w:cs="Calibri"/>
          <w:b/>
          <w:sz w:val="22"/>
          <w:szCs w:val="22"/>
          <w:lang w:eastAsia="es-MX"/>
        </w:rPr>
        <w:t>FMCN</w:t>
      </w:r>
      <w:r w:rsidR="006943E5">
        <w:rPr>
          <w:rFonts w:ascii="Calibri" w:eastAsia="Times New Roman" w:hAnsi="Calibri" w:cs="Calibri"/>
          <w:b/>
          <w:sz w:val="22"/>
          <w:szCs w:val="22"/>
          <w:lang w:eastAsia="es-MX"/>
        </w:rPr>
        <w:t xml:space="preserve"> r</w:t>
      </w:r>
      <w:r w:rsidR="006943E5">
        <w:rPr>
          <w:rFonts w:ascii="Calibri" w:eastAsia="Times New Roman" w:hAnsi="Calibri" w:cs="Calibri"/>
          <w:sz w:val="22"/>
          <w:szCs w:val="22"/>
          <w:lang w:eastAsia="es-MX"/>
        </w:rPr>
        <w:t>ealizará</w:t>
      </w:r>
      <w:r w:rsidR="006943E5" w:rsidRPr="009D5C67">
        <w:rPr>
          <w:rFonts w:ascii="Calibri" w:eastAsia="Times New Roman" w:hAnsi="Calibri" w:cs="Calibri"/>
          <w:sz w:val="22"/>
          <w:szCs w:val="22"/>
          <w:lang w:eastAsia="es-MX"/>
        </w:rPr>
        <w:t xml:space="preserve"> </w:t>
      </w:r>
      <w:r w:rsidR="006943E5">
        <w:rPr>
          <w:rFonts w:ascii="Calibri" w:eastAsia="Times New Roman" w:hAnsi="Calibri" w:cs="Calibri"/>
          <w:sz w:val="22"/>
          <w:szCs w:val="22"/>
          <w:lang w:eastAsia="es-MX"/>
        </w:rPr>
        <w:t>visitas</w:t>
      </w:r>
      <w:r w:rsidR="006943E5" w:rsidRPr="009D5C67">
        <w:rPr>
          <w:rFonts w:ascii="Calibri" w:eastAsia="Times New Roman" w:hAnsi="Calibri" w:cs="Calibri"/>
          <w:sz w:val="22"/>
          <w:szCs w:val="22"/>
          <w:lang w:eastAsia="es-MX"/>
        </w:rPr>
        <w:t xml:space="preserve"> a</w:t>
      </w:r>
      <w:r w:rsidR="006943E5">
        <w:rPr>
          <w:rFonts w:ascii="Calibri" w:eastAsia="Times New Roman" w:hAnsi="Calibri" w:cs="Calibri"/>
          <w:sz w:val="22"/>
          <w:szCs w:val="22"/>
          <w:lang w:eastAsia="es-MX"/>
        </w:rPr>
        <w:t xml:space="preserve"> sitios y organizaciones </w:t>
      </w:r>
      <w:r w:rsidR="006943E5" w:rsidRPr="009D5C67">
        <w:rPr>
          <w:rFonts w:ascii="Calibri" w:eastAsia="Times New Roman" w:hAnsi="Calibri" w:cs="Calibri"/>
          <w:sz w:val="22"/>
          <w:szCs w:val="22"/>
          <w:lang w:eastAsia="es-MX"/>
        </w:rPr>
        <w:t xml:space="preserve">durante el primer trimestre de 2023, con el objetivo de conocer de primera mano las experiencias de actores que participaron en proyectos similares a </w:t>
      </w:r>
      <w:r w:rsidR="006943E5">
        <w:rPr>
          <w:rFonts w:ascii="Calibri" w:eastAsia="Times New Roman" w:hAnsi="Calibri" w:cs="Calibri"/>
          <w:sz w:val="22"/>
          <w:szCs w:val="22"/>
          <w:lang w:eastAsia="es-MX"/>
        </w:rPr>
        <w:t xml:space="preserve">RÍOS y </w:t>
      </w:r>
      <w:r w:rsidR="006943E5" w:rsidRPr="009D5C67">
        <w:rPr>
          <w:rFonts w:ascii="Calibri" w:eastAsia="Times New Roman" w:hAnsi="Calibri" w:cs="Calibri"/>
          <w:sz w:val="22"/>
          <w:szCs w:val="22"/>
          <w:lang w:eastAsia="es-MX"/>
        </w:rPr>
        <w:t xml:space="preserve">CONECTA (operativos de fincas demostrativas, beneficarios, instituciones financieras, organizaciones de la sociedad civil que implementan proyectos de ganadería regenerativa), </w:t>
      </w:r>
      <w:r w:rsidR="006943E5">
        <w:rPr>
          <w:rFonts w:ascii="Calibri" w:eastAsia="Times New Roman" w:hAnsi="Calibri" w:cs="Calibri"/>
          <w:sz w:val="22"/>
          <w:szCs w:val="22"/>
          <w:lang w:eastAsia="es-MX"/>
        </w:rPr>
        <w:t>para</w:t>
      </w:r>
      <w:r w:rsidR="006943E5" w:rsidRPr="009D5C67">
        <w:rPr>
          <w:rFonts w:ascii="Calibri" w:eastAsia="Times New Roman" w:hAnsi="Calibri" w:cs="Calibri"/>
          <w:sz w:val="22"/>
          <w:szCs w:val="22"/>
          <w:lang w:eastAsia="es-MX"/>
        </w:rPr>
        <w:t xml:space="preserve"> identificar lecciones aprendidas que podemos ajustar, replicar o evitar en el diseño los productos financieros en México.</w:t>
      </w:r>
      <w:r w:rsidR="006943E5">
        <w:rPr>
          <w:rFonts w:ascii="Calibri" w:eastAsia="Times New Roman" w:hAnsi="Calibri" w:cs="Calibri"/>
          <w:sz w:val="22"/>
          <w:szCs w:val="22"/>
          <w:lang w:eastAsia="es-MX"/>
        </w:rPr>
        <w:t xml:space="preserve"> Buscará e</w:t>
      </w:r>
      <w:r w:rsidRPr="009D5C67">
        <w:rPr>
          <w:rFonts w:ascii="Calibri" w:eastAsia="Times New Roman" w:hAnsi="Calibri" w:cs="Calibri"/>
          <w:sz w:val="22"/>
          <w:szCs w:val="22"/>
          <w:lang w:eastAsia="es-MX"/>
        </w:rPr>
        <w:t xml:space="preserve">stablecer alianzas estratégicas con actores clave de la banca (privada y de desarrollo) que contribuyan a identificar cuáles son algunos de los elementos a incorporar en diseño de los productos financieros adecuados al público meta (pequeños productores). </w:t>
      </w:r>
      <w:r w:rsidR="006943E5">
        <w:rPr>
          <w:rFonts w:ascii="Calibri" w:eastAsia="Times New Roman" w:hAnsi="Calibri" w:cs="Calibri"/>
          <w:sz w:val="22"/>
          <w:szCs w:val="22"/>
          <w:lang w:eastAsia="es-MX"/>
        </w:rPr>
        <w:t>B</w:t>
      </w:r>
      <w:r w:rsidR="00320EA7">
        <w:rPr>
          <w:rFonts w:ascii="Calibri" w:eastAsia="Times New Roman" w:hAnsi="Calibri" w:cs="Calibri"/>
          <w:sz w:val="22"/>
          <w:szCs w:val="22"/>
          <w:lang w:eastAsia="es-MX"/>
        </w:rPr>
        <w:t xml:space="preserve">uscará </w:t>
      </w:r>
      <w:r w:rsidRPr="009D5C67">
        <w:rPr>
          <w:rFonts w:ascii="Calibri" w:eastAsia="Times New Roman" w:hAnsi="Calibri" w:cs="Calibri"/>
          <w:sz w:val="22"/>
          <w:szCs w:val="22"/>
          <w:lang w:eastAsia="es-MX"/>
        </w:rPr>
        <w:t xml:space="preserve">abrir canales de comunicación y retroalimentación que permitan difundir y ampliar los alcances del proyecto. </w:t>
      </w:r>
      <w:r w:rsidR="00066969" w:rsidRPr="009D5C67">
        <w:rPr>
          <w:rFonts w:ascii="Calibri" w:eastAsia="Times New Roman" w:hAnsi="Calibri" w:cs="Calibri"/>
          <w:sz w:val="22"/>
          <w:szCs w:val="22"/>
          <w:lang w:eastAsia="es-MX"/>
        </w:rPr>
        <w:t>Este bloque de acciones irá</w:t>
      </w:r>
      <w:r w:rsidRPr="009D5C67">
        <w:rPr>
          <w:rFonts w:ascii="Calibri" w:eastAsia="Times New Roman" w:hAnsi="Calibri" w:cs="Calibri"/>
          <w:sz w:val="22"/>
          <w:szCs w:val="22"/>
          <w:lang w:eastAsia="es-MX"/>
        </w:rPr>
        <w:t xml:space="preserve"> madurando con base en los resultados y aprendizajes que se obtengan de los subproyectos y finalizarán en julio de 2026, considerando la posibilidad de encadenar estos avances con financiamientos a gestionar.</w:t>
      </w:r>
      <w:r w:rsidR="00730640">
        <w:rPr>
          <w:rFonts w:ascii="Calibri" w:eastAsia="Times New Roman" w:hAnsi="Calibri" w:cs="Calibri"/>
          <w:sz w:val="22"/>
          <w:szCs w:val="22"/>
          <w:lang w:eastAsia="es-MX"/>
        </w:rPr>
        <w:t xml:space="preserve"> </w:t>
      </w:r>
      <w:r w:rsidRPr="009D5C67">
        <w:rPr>
          <w:rFonts w:ascii="Calibri" w:eastAsia="Times New Roman" w:hAnsi="Calibri" w:cs="Calibri"/>
          <w:sz w:val="22"/>
          <w:szCs w:val="22"/>
          <w:lang w:eastAsia="es-MX"/>
        </w:rPr>
        <w:t>Paralelamente</w:t>
      </w:r>
      <w:r w:rsidR="00730640">
        <w:rPr>
          <w:rFonts w:ascii="Calibri" w:eastAsia="Times New Roman" w:hAnsi="Calibri" w:cs="Calibri"/>
          <w:sz w:val="22"/>
          <w:szCs w:val="22"/>
          <w:lang w:eastAsia="es-MX"/>
        </w:rPr>
        <w:t xml:space="preserve">, </w:t>
      </w:r>
      <w:r w:rsidRPr="009D5C67">
        <w:rPr>
          <w:rFonts w:ascii="Calibri" w:eastAsia="Times New Roman" w:hAnsi="Calibri" w:cs="Calibri"/>
          <w:sz w:val="22"/>
          <w:szCs w:val="22"/>
          <w:lang w:eastAsia="es-MX"/>
        </w:rPr>
        <w:t xml:space="preserve">promoveremos con </w:t>
      </w:r>
      <w:r w:rsidR="00730640">
        <w:rPr>
          <w:rFonts w:ascii="Calibri" w:eastAsia="Times New Roman" w:hAnsi="Calibri" w:cs="Calibri"/>
          <w:sz w:val="22"/>
          <w:szCs w:val="22"/>
          <w:lang w:eastAsia="es-MX"/>
        </w:rPr>
        <w:t>IF</w:t>
      </w:r>
      <w:r w:rsidRPr="009D5C67">
        <w:rPr>
          <w:rFonts w:ascii="Calibri" w:eastAsia="Times New Roman" w:hAnsi="Calibri" w:cs="Calibri"/>
          <w:sz w:val="22"/>
          <w:szCs w:val="22"/>
          <w:lang w:eastAsia="es-MX"/>
        </w:rPr>
        <w:t xml:space="preserve"> algunos de los retos que estamos identificando con las OLLC</w:t>
      </w:r>
      <w:r w:rsidR="00066969">
        <w:rPr>
          <w:rStyle w:val="Refdenotaalpie"/>
          <w:rFonts w:ascii="Calibri" w:eastAsia="Times New Roman" w:hAnsi="Calibri" w:cs="Calibri"/>
          <w:sz w:val="22"/>
          <w:szCs w:val="22"/>
          <w:lang w:eastAsia="es-MX"/>
        </w:rPr>
        <w:footnoteReference w:id="1"/>
      </w:r>
      <w:r w:rsidRPr="009D5C67">
        <w:rPr>
          <w:rFonts w:ascii="Calibri" w:eastAsia="Times New Roman" w:hAnsi="Calibri" w:cs="Calibri"/>
          <w:sz w:val="22"/>
          <w:szCs w:val="22"/>
          <w:lang w:eastAsia="es-MX"/>
        </w:rPr>
        <w:t xml:space="preserve"> y Fondos Regionales a fin de incrementar la inclusión financiera del sector rural. Si bien la consultoría del </w:t>
      </w:r>
      <w:r w:rsidRPr="009D5C67">
        <w:rPr>
          <w:rFonts w:ascii="Calibri" w:eastAsia="Times New Roman" w:hAnsi="Calibri" w:cs="Calibri"/>
          <w:sz w:val="22"/>
          <w:szCs w:val="22"/>
          <w:lang w:eastAsia="es-MX"/>
        </w:rPr>
        <w:lastRenderedPageBreak/>
        <w:t xml:space="preserve">Componente 2.3 se enfocará en tres </w:t>
      </w:r>
      <w:r w:rsidR="00D4308D">
        <w:rPr>
          <w:rFonts w:ascii="Calibri" w:eastAsia="Times New Roman" w:hAnsi="Calibri" w:cs="Calibri"/>
          <w:sz w:val="22"/>
          <w:szCs w:val="22"/>
          <w:lang w:eastAsia="es-MX"/>
        </w:rPr>
        <w:t>IF</w:t>
      </w:r>
      <w:r w:rsidRPr="009D5C67">
        <w:rPr>
          <w:rFonts w:ascii="Calibri" w:eastAsia="Times New Roman" w:hAnsi="Calibri" w:cs="Calibri"/>
          <w:sz w:val="22"/>
          <w:szCs w:val="22"/>
          <w:lang w:eastAsia="es-MX"/>
        </w:rPr>
        <w:t>, los avances se diseminarán entre el sector para atraer a otras instituciones que pudieran interesarse para establecer colaboraciones.</w:t>
      </w:r>
      <w:r w:rsidR="00730640">
        <w:rPr>
          <w:rFonts w:ascii="Calibri" w:eastAsia="Times New Roman" w:hAnsi="Calibri" w:cs="Calibri"/>
          <w:sz w:val="22"/>
          <w:szCs w:val="22"/>
          <w:lang w:eastAsia="es-MX"/>
        </w:rPr>
        <w:t xml:space="preserve"> </w:t>
      </w:r>
    </w:p>
    <w:p w14:paraId="3538A61F" w14:textId="2F1CB3B9" w:rsidR="00711EF3" w:rsidRDefault="00711EF3">
      <w:pPr>
        <w:jc w:val="both"/>
        <w:rPr>
          <w:rFonts w:ascii="Calibri" w:eastAsia="Times New Roman" w:hAnsi="Calibri" w:cs="Calibri"/>
          <w:sz w:val="22"/>
          <w:szCs w:val="22"/>
          <w:lang w:eastAsia="es-MX"/>
        </w:rPr>
      </w:pPr>
    </w:p>
    <w:p w14:paraId="0C510F1E" w14:textId="0244AD92" w:rsidR="00711EF3" w:rsidRPr="009D5C67" w:rsidRDefault="00711EF3" w:rsidP="00711EF3">
      <w:pPr>
        <w:jc w:val="both"/>
        <w:rPr>
          <w:rFonts w:ascii="Calibri" w:eastAsia="Times New Roman" w:hAnsi="Calibri" w:cs="Calibri"/>
          <w:sz w:val="22"/>
          <w:szCs w:val="22"/>
          <w:lang w:eastAsia="es-MX"/>
        </w:rPr>
      </w:pPr>
      <w:r w:rsidRPr="00864293">
        <w:rPr>
          <w:rFonts w:ascii="Calibri" w:eastAsia="Times New Roman" w:hAnsi="Calibri" w:cs="Calibri"/>
          <w:b/>
          <w:sz w:val="22"/>
          <w:szCs w:val="22"/>
          <w:lang w:eastAsia="es-MX"/>
        </w:rPr>
        <w:t>Los Fondos Regionales (FR)</w:t>
      </w:r>
      <w:r w:rsidR="006943E5">
        <w:rPr>
          <w:rFonts w:ascii="Calibri" w:eastAsia="Times New Roman" w:hAnsi="Calibri" w:cs="Calibri"/>
          <w:b/>
          <w:sz w:val="22"/>
          <w:szCs w:val="22"/>
          <w:lang w:eastAsia="es-MX"/>
        </w:rPr>
        <w:t xml:space="preserve"> </w:t>
      </w:r>
      <w:r w:rsidR="006943E5">
        <w:rPr>
          <w:rFonts w:ascii="Calibri" w:eastAsia="Times New Roman" w:hAnsi="Calibri" w:cs="Calibri"/>
          <w:sz w:val="22"/>
          <w:szCs w:val="22"/>
          <w:lang w:eastAsia="es-MX"/>
        </w:rPr>
        <w:t>p</w:t>
      </w:r>
      <w:r w:rsidRPr="009D5C67">
        <w:rPr>
          <w:rFonts w:ascii="Calibri" w:eastAsia="Times New Roman" w:hAnsi="Calibri" w:cs="Calibri"/>
          <w:sz w:val="22"/>
          <w:szCs w:val="22"/>
          <w:lang w:eastAsia="es-MX"/>
        </w:rPr>
        <w:t xml:space="preserve">articiparán activamente en el apoyo logístico para acercar a los </w:t>
      </w:r>
      <w:r>
        <w:rPr>
          <w:rFonts w:ascii="Calibri" w:eastAsia="Times New Roman" w:hAnsi="Calibri" w:cs="Calibri"/>
          <w:sz w:val="22"/>
          <w:szCs w:val="22"/>
          <w:lang w:eastAsia="es-MX"/>
        </w:rPr>
        <w:t>IF</w:t>
      </w:r>
      <w:r w:rsidRPr="009D5C67">
        <w:rPr>
          <w:rFonts w:ascii="Calibri" w:eastAsia="Times New Roman" w:hAnsi="Calibri" w:cs="Calibri"/>
          <w:sz w:val="22"/>
          <w:szCs w:val="22"/>
          <w:lang w:eastAsia="es-MX"/>
        </w:rPr>
        <w:t xml:space="preserve"> con los grupos de productores que hayan avanzado en su propuesta de financiamiento (con base en los requisitos de los productos financieros disponibles) de modo que apoyen a la identificación de las brechas que estos productores presentan para lograr el financiamiento.</w:t>
      </w:r>
      <w:r>
        <w:rPr>
          <w:rFonts w:ascii="Calibri" w:eastAsia="Times New Roman" w:hAnsi="Calibri" w:cs="Calibri"/>
          <w:sz w:val="22"/>
          <w:szCs w:val="22"/>
          <w:lang w:eastAsia="es-MX"/>
        </w:rPr>
        <w:t xml:space="preserve"> Los FR apoyarán a promover las lecciones aprendidas durante el desarrollo de la consultoría en los territorios. </w:t>
      </w:r>
    </w:p>
    <w:p w14:paraId="7F41E469" w14:textId="77777777" w:rsidR="009D5C67" w:rsidRPr="009D5C67" w:rsidRDefault="009D5C67" w:rsidP="009D5C67">
      <w:pPr>
        <w:jc w:val="both"/>
        <w:rPr>
          <w:rFonts w:ascii="Calibri" w:eastAsia="Times New Roman" w:hAnsi="Calibri" w:cs="Calibri"/>
          <w:sz w:val="22"/>
          <w:szCs w:val="22"/>
          <w:lang w:eastAsia="es-MX"/>
        </w:rPr>
      </w:pPr>
    </w:p>
    <w:p w14:paraId="0E3A6814" w14:textId="43AC44BC" w:rsidR="009D5C67" w:rsidRDefault="009D5C67" w:rsidP="009D5C67">
      <w:pPr>
        <w:jc w:val="both"/>
        <w:rPr>
          <w:rFonts w:ascii="Calibri" w:eastAsia="Times New Roman" w:hAnsi="Calibri" w:cs="Calibri"/>
          <w:sz w:val="22"/>
          <w:szCs w:val="22"/>
          <w:lang w:eastAsia="es-MX"/>
        </w:rPr>
      </w:pPr>
      <w:r w:rsidRPr="009D5C67">
        <w:rPr>
          <w:rFonts w:ascii="Calibri" w:eastAsia="Times New Roman" w:hAnsi="Calibri" w:cs="Calibri"/>
          <w:sz w:val="22"/>
          <w:szCs w:val="22"/>
          <w:lang w:eastAsia="es-MX"/>
        </w:rPr>
        <w:t>La sistematización, difusión e intercambio de conocimientos se realizará durante toda la vida de RIOS y se refozará a través de los eventos de Comunidades de Aprendizajes anual que realizarán los Fondos Regionales y los eventos nacionales que organizará el FMCN en 2023 y 2025.</w:t>
      </w:r>
    </w:p>
    <w:p w14:paraId="42D5B916" w14:textId="79C6C953" w:rsidR="00A03EAD" w:rsidRDefault="00A03EAD" w:rsidP="009D5C67">
      <w:pPr>
        <w:jc w:val="both"/>
        <w:rPr>
          <w:rFonts w:ascii="Calibri" w:eastAsia="Times New Roman" w:hAnsi="Calibri" w:cs="Calibri"/>
          <w:sz w:val="22"/>
          <w:szCs w:val="22"/>
          <w:lang w:eastAsia="es-MX"/>
        </w:rPr>
      </w:pPr>
    </w:p>
    <w:p w14:paraId="5A2664F2" w14:textId="0DFB720E" w:rsidR="00411DA8" w:rsidRDefault="00411DA8" w:rsidP="009D5C67">
      <w:pPr>
        <w:jc w:val="both"/>
        <w:rPr>
          <w:rFonts w:ascii="Calibri" w:eastAsia="Times New Roman" w:hAnsi="Calibri" w:cs="Calibri"/>
          <w:sz w:val="22"/>
          <w:szCs w:val="22"/>
          <w:lang w:eastAsia="es-MX"/>
        </w:rPr>
      </w:pPr>
    </w:p>
    <w:p w14:paraId="6191E82A" w14:textId="090F0A0D" w:rsidR="00411DA8" w:rsidRPr="00411DA8" w:rsidRDefault="00411DA8" w:rsidP="00411DA8">
      <w:pPr>
        <w:jc w:val="both"/>
        <w:rPr>
          <w:rFonts w:eastAsia="Times New Roman" w:cstheme="minorHAnsi"/>
          <w:b/>
          <w:sz w:val="22"/>
          <w:szCs w:val="22"/>
          <w:lang w:eastAsia="es-MX"/>
        </w:rPr>
      </w:pPr>
      <w:r w:rsidRPr="00411DA8">
        <w:rPr>
          <w:rFonts w:eastAsia="Times New Roman" w:cstheme="minorHAnsi"/>
          <w:b/>
          <w:sz w:val="22"/>
          <w:szCs w:val="22"/>
          <w:lang w:eastAsia="es-MX"/>
        </w:rPr>
        <w:t>Instituciones financieras que trabajan en</w:t>
      </w:r>
      <w:r>
        <w:rPr>
          <w:rFonts w:eastAsia="Times New Roman" w:cstheme="minorHAnsi"/>
          <w:b/>
          <w:sz w:val="22"/>
          <w:szCs w:val="22"/>
          <w:lang w:eastAsia="es-MX"/>
        </w:rPr>
        <w:t xml:space="preserve"> las cuencas del proyecto</w:t>
      </w:r>
    </w:p>
    <w:p w14:paraId="68397D2E" w14:textId="21014CC5" w:rsidR="00411DA8" w:rsidRPr="00E71822" w:rsidRDefault="00411DA8" w:rsidP="00411DA8">
      <w:pPr>
        <w:jc w:val="both"/>
        <w:rPr>
          <w:rFonts w:eastAsia="Times New Roman" w:cstheme="minorHAnsi"/>
          <w:b/>
          <w:sz w:val="22"/>
          <w:szCs w:val="22"/>
          <w:lang w:eastAsia="es-MX"/>
        </w:rPr>
      </w:pPr>
    </w:p>
    <w:p w14:paraId="75A97161" w14:textId="7C1DE3FA" w:rsidR="004E27C4" w:rsidRPr="004E27C4" w:rsidRDefault="00411DA8" w:rsidP="00411DA8">
      <w:pPr>
        <w:jc w:val="both"/>
        <w:rPr>
          <w:rFonts w:eastAsia="Times New Roman" w:cstheme="minorHAnsi"/>
          <w:sz w:val="22"/>
          <w:szCs w:val="22"/>
          <w:lang w:eastAsia="es-MX"/>
        </w:rPr>
      </w:pPr>
      <w:r w:rsidRPr="004E27C4">
        <w:rPr>
          <w:rFonts w:eastAsia="Times New Roman" w:cstheme="minorHAnsi"/>
          <w:sz w:val="22"/>
          <w:szCs w:val="22"/>
          <w:lang w:eastAsia="es-MX"/>
        </w:rPr>
        <w:t>En la l</w:t>
      </w:r>
      <w:r w:rsidR="004E27C4" w:rsidRPr="004E27C4">
        <w:rPr>
          <w:rFonts w:eastAsia="Times New Roman" w:cstheme="minorHAnsi"/>
          <w:sz w:val="22"/>
          <w:szCs w:val="22"/>
          <w:lang w:eastAsia="es-MX"/>
        </w:rPr>
        <w:t>í</w:t>
      </w:r>
      <w:r w:rsidRPr="004E27C4">
        <w:rPr>
          <w:rFonts w:eastAsia="Times New Roman" w:cstheme="minorHAnsi"/>
          <w:sz w:val="22"/>
          <w:szCs w:val="22"/>
          <w:lang w:eastAsia="es-MX"/>
        </w:rPr>
        <w:t xml:space="preserve">nea base, los expertos locales de FGM y FONNOR </w:t>
      </w:r>
      <w:proofErr w:type="spellStart"/>
      <w:r w:rsidRPr="004E27C4">
        <w:rPr>
          <w:rFonts w:eastAsia="Times New Roman" w:cstheme="minorHAnsi"/>
          <w:sz w:val="22"/>
          <w:szCs w:val="22"/>
          <w:lang w:eastAsia="es-MX"/>
        </w:rPr>
        <w:t>identicaron</w:t>
      </w:r>
      <w:proofErr w:type="spellEnd"/>
      <w:r w:rsidRPr="004E27C4">
        <w:rPr>
          <w:rFonts w:eastAsia="Times New Roman" w:cstheme="minorHAnsi"/>
          <w:sz w:val="22"/>
          <w:szCs w:val="22"/>
          <w:lang w:eastAsia="es-MX"/>
        </w:rPr>
        <w:t xml:space="preserve"> 14 intermediarios financieros (Ver Tabla 1) en la región, dos de ellos (FIRA y FIPRODEFO) tienen productos climáticamente inteligentes, pero no están enfocados en las actividades en la región y</w:t>
      </w:r>
      <w:r w:rsidR="004E27C4" w:rsidRPr="004E27C4">
        <w:rPr>
          <w:rFonts w:eastAsia="Times New Roman" w:cstheme="minorHAnsi"/>
          <w:sz w:val="22"/>
          <w:szCs w:val="22"/>
          <w:lang w:eastAsia="es-MX"/>
        </w:rPr>
        <w:t xml:space="preserve"> ni tienen</w:t>
      </w:r>
      <w:r w:rsidRPr="004E27C4">
        <w:rPr>
          <w:rFonts w:eastAsia="Times New Roman" w:cstheme="minorHAnsi"/>
          <w:sz w:val="22"/>
          <w:szCs w:val="22"/>
          <w:lang w:eastAsia="es-MX"/>
        </w:rPr>
        <w:t xml:space="preserve"> fuertes salvaguardas. En 2022, FMCN identificó </w:t>
      </w:r>
      <w:r w:rsidR="004E27C4">
        <w:rPr>
          <w:rFonts w:eastAsia="Times New Roman" w:cstheme="minorHAnsi"/>
          <w:sz w:val="22"/>
          <w:szCs w:val="22"/>
          <w:lang w:eastAsia="es-MX"/>
        </w:rPr>
        <w:t xml:space="preserve">a </w:t>
      </w:r>
      <w:r w:rsidRPr="004E27C4">
        <w:rPr>
          <w:rFonts w:eastAsia="Times New Roman" w:cstheme="minorHAnsi"/>
          <w:sz w:val="22"/>
          <w:szCs w:val="22"/>
          <w:lang w:eastAsia="es-MX"/>
        </w:rPr>
        <w:t xml:space="preserve">ProDesarrollo, Finanzas y Microempresa, A.C. </w:t>
      </w:r>
      <w:r w:rsidR="004E27C4" w:rsidRPr="004E27C4">
        <w:rPr>
          <w:rFonts w:eastAsia="Times New Roman" w:cstheme="minorHAnsi"/>
          <w:sz w:val="22"/>
          <w:szCs w:val="22"/>
          <w:lang w:eastAsia="es-MX"/>
        </w:rPr>
        <w:t xml:space="preserve">que </w:t>
      </w:r>
      <w:r w:rsidRPr="004E27C4">
        <w:rPr>
          <w:rFonts w:eastAsia="Times New Roman" w:cstheme="minorHAnsi"/>
          <w:sz w:val="22"/>
          <w:szCs w:val="22"/>
          <w:lang w:eastAsia="es-MX"/>
        </w:rPr>
        <w:t xml:space="preserve">es la red nacional de instituciones proveedoras de productos y servicios </w:t>
      </w:r>
      <w:r w:rsidR="004E27C4" w:rsidRPr="004E27C4">
        <w:rPr>
          <w:rFonts w:eastAsia="Times New Roman" w:cstheme="minorHAnsi"/>
          <w:sz w:val="22"/>
          <w:szCs w:val="22"/>
          <w:lang w:eastAsia="es-MX"/>
        </w:rPr>
        <w:t>financieros con un portafolio de productos financieros como: microcrédito productivo, créditos verdes, entre otros, así como servicios de educación financiera, empoderamiento de género, salud, y algunos más.</w:t>
      </w:r>
    </w:p>
    <w:p w14:paraId="2AD398F7" w14:textId="77777777" w:rsidR="00411DA8" w:rsidRPr="00411DA8" w:rsidRDefault="00411DA8" w:rsidP="00411DA8">
      <w:pPr>
        <w:jc w:val="both"/>
        <w:rPr>
          <w:rFonts w:eastAsia="Times New Roman" w:cstheme="minorHAnsi"/>
          <w:b/>
          <w:sz w:val="22"/>
          <w:szCs w:val="22"/>
          <w:lang w:eastAsia="es-MX"/>
        </w:rPr>
      </w:pPr>
    </w:p>
    <w:p w14:paraId="6DE7849A" w14:textId="77777777" w:rsidR="00411DA8" w:rsidRPr="00E71822" w:rsidRDefault="00411DA8" w:rsidP="00411DA8">
      <w:pPr>
        <w:jc w:val="both"/>
        <w:rPr>
          <w:rFonts w:cstheme="minorHAnsi"/>
          <w:sz w:val="22"/>
          <w:szCs w:val="22"/>
        </w:rPr>
      </w:pPr>
    </w:p>
    <w:p w14:paraId="475EDC92" w14:textId="498A8A1D" w:rsidR="004E27C4" w:rsidRPr="004E27C4" w:rsidRDefault="00411DA8" w:rsidP="00411DA8">
      <w:pPr>
        <w:jc w:val="both"/>
        <w:rPr>
          <w:rFonts w:cstheme="minorHAnsi"/>
          <w:sz w:val="22"/>
          <w:szCs w:val="22"/>
        </w:rPr>
      </w:pPr>
      <w:r w:rsidRPr="004E27C4">
        <w:rPr>
          <w:rFonts w:cstheme="minorHAnsi"/>
          <w:b/>
          <w:sz w:val="22"/>
          <w:szCs w:val="22"/>
        </w:rPr>
        <w:t>Tabl</w:t>
      </w:r>
      <w:r w:rsidR="004E27C4" w:rsidRPr="004E27C4">
        <w:rPr>
          <w:rFonts w:cstheme="minorHAnsi"/>
          <w:b/>
          <w:sz w:val="22"/>
          <w:szCs w:val="22"/>
        </w:rPr>
        <w:t>a</w:t>
      </w:r>
      <w:r w:rsidRPr="004E27C4">
        <w:rPr>
          <w:rFonts w:cstheme="minorHAnsi"/>
          <w:b/>
          <w:sz w:val="22"/>
          <w:szCs w:val="22"/>
        </w:rPr>
        <w:t xml:space="preserve"> 1</w:t>
      </w:r>
      <w:r w:rsidRPr="004E27C4">
        <w:rPr>
          <w:rFonts w:cstheme="minorHAnsi"/>
          <w:sz w:val="22"/>
          <w:szCs w:val="22"/>
        </w:rPr>
        <w:t xml:space="preserve">. </w:t>
      </w:r>
      <w:r w:rsidR="004E27C4" w:rsidRPr="004E27C4">
        <w:rPr>
          <w:rFonts w:cstheme="minorHAnsi"/>
          <w:sz w:val="22"/>
          <w:szCs w:val="22"/>
        </w:rPr>
        <w:t xml:space="preserve">Intermediarios e instituciones financieras identificadas en la línea base que trabajan en las cuencas del proyecto. </w:t>
      </w:r>
    </w:p>
    <w:p w14:paraId="01EDFEB9" w14:textId="77777777" w:rsidR="00411DA8" w:rsidRPr="004E27C4" w:rsidRDefault="00411DA8" w:rsidP="00411DA8">
      <w:pPr>
        <w:jc w:val="both"/>
        <w:rPr>
          <w:rFonts w:cstheme="minorHAnsi"/>
          <w:color w:val="000000" w:themeColor="text1"/>
          <w:sz w:val="22"/>
          <w:szCs w:val="22"/>
        </w:rPr>
      </w:pPr>
    </w:p>
    <w:tbl>
      <w:tblPr>
        <w:tblW w:w="5000" w:type="pct"/>
        <w:jc w:val="center"/>
        <w:tbl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insideH w:val="single" w:sz="8" w:space="0" w:color="D9D9D9" w:themeColor="background1" w:themeShade="D9"/>
          <w:insideV w:val="single" w:sz="8" w:space="0" w:color="D9D9D9" w:themeColor="background1" w:themeShade="D9"/>
        </w:tblBorders>
        <w:shd w:val="clear" w:color="auto" w:fill="FFFFFF" w:themeFill="background1"/>
        <w:tblCellMar>
          <w:left w:w="0" w:type="dxa"/>
          <w:right w:w="0" w:type="dxa"/>
        </w:tblCellMar>
        <w:tblLook w:val="04A0" w:firstRow="1" w:lastRow="0" w:firstColumn="1" w:lastColumn="0" w:noHBand="0" w:noVBand="1"/>
      </w:tblPr>
      <w:tblGrid>
        <w:gridCol w:w="1381"/>
        <w:gridCol w:w="2955"/>
        <w:gridCol w:w="1325"/>
        <w:gridCol w:w="3157"/>
      </w:tblGrid>
      <w:tr w:rsidR="00411DA8" w:rsidRPr="004E27C4" w14:paraId="0A428091" w14:textId="77777777" w:rsidTr="004E27C4">
        <w:trPr>
          <w:tblHeader/>
          <w:jc w:val="center"/>
        </w:trPr>
        <w:tc>
          <w:tcPr>
            <w:tcW w:w="783" w:type="pct"/>
            <w:shd w:val="clear" w:color="auto" w:fill="D9D9D9" w:themeFill="background1" w:themeFillShade="D9"/>
            <w:tcMar>
              <w:top w:w="0" w:type="dxa"/>
              <w:left w:w="108" w:type="dxa"/>
              <w:bottom w:w="0" w:type="dxa"/>
              <w:right w:w="108" w:type="dxa"/>
            </w:tcMar>
            <w:vAlign w:val="center"/>
            <w:hideMark/>
          </w:tcPr>
          <w:p w14:paraId="2251B05D" w14:textId="77777777" w:rsidR="00411DA8" w:rsidRPr="004E27C4" w:rsidRDefault="00411DA8" w:rsidP="00D7505D">
            <w:pPr>
              <w:jc w:val="both"/>
              <w:rPr>
                <w:rFonts w:cstheme="minorHAnsi"/>
                <w:color w:val="000000" w:themeColor="text1"/>
                <w:sz w:val="22"/>
                <w:szCs w:val="22"/>
              </w:rPr>
            </w:pPr>
          </w:p>
        </w:tc>
        <w:tc>
          <w:tcPr>
            <w:tcW w:w="1676" w:type="pct"/>
            <w:shd w:val="clear" w:color="auto" w:fill="D9D9D9" w:themeFill="background1" w:themeFillShade="D9"/>
            <w:tcMar>
              <w:top w:w="0" w:type="dxa"/>
              <w:left w:w="108" w:type="dxa"/>
              <w:bottom w:w="0" w:type="dxa"/>
              <w:right w:w="108" w:type="dxa"/>
            </w:tcMar>
            <w:vAlign w:val="center"/>
            <w:hideMark/>
          </w:tcPr>
          <w:p w14:paraId="32E79942" w14:textId="4B9A2D66" w:rsidR="00411DA8" w:rsidRPr="004E27C4" w:rsidRDefault="004E27C4" w:rsidP="00D7505D">
            <w:pPr>
              <w:jc w:val="both"/>
              <w:rPr>
                <w:rFonts w:cstheme="minorHAnsi"/>
                <w:color w:val="000000" w:themeColor="text1"/>
                <w:sz w:val="22"/>
                <w:szCs w:val="22"/>
              </w:rPr>
            </w:pPr>
            <w:r w:rsidRPr="004E27C4">
              <w:rPr>
                <w:rFonts w:cstheme="minorHAnsi"/>
                <w:b/>
                <w:bCs/>
                <w:color w:val="000000" w:themeColor="text1"/>
                <w:sz w:val="22"/>
                <w:szCs w:val="22"/>
              </w:rPr>
              <w:t>Organización</w:t>
            </w:r>
          </w:p>
        </w:tc>
        <w:tc>
          <w:tcPr>
            <w:tcW w:w="751" w:type="pct"/>
            <w:shd w:val="clear" w:color="auto" w:fill="D9D9D9" w:themeFill="background1" w:themeFillShade="D9"/>
            <w:tcMar>
              <w:top w:w="0" w:type="dxa"/>
              <w:left w:w="108" w:type="dxa"/>
              <w:bottom w:w="0" w:type="dxa"/>
              <w:right w:w="108" w:type="dxa"/>
            </w:tcMar>
            <w:vAlign w:val="center"/>
            <w:hideMark/>
          </w:tcPr>
          <w:p w14:paraId="79EF4FAA" w14:textId="64AA182B" w:rsidR="00411DA8" w:rsidRPr="004E27C4" w:rsidRDefault="004E27C4" w:rsidP="00D7505D">
            <w:pPr>
              <w:jc w:val="both"/>
              <w:rPr>
                <w:rFonts w:cstheme="minorHAnsi"/>
                <w:color w:val="000000" w:themeColor="text1"/>
                <w:sz w:val="22"/>
                <w:szCs w:val="22"/>
              </w:rPr>
            </w:pPr>
            <w:r w:rsidRPr="004E27C4">
              <w:rPr>
                <w:rFonts w:cstheme="minorHAnsi"/>
                <w:b/>
                <w:bCs/>
                <w:color w:val="000000" w:themeColor="text1"/>
                <w:sz w:val="22"/>
                <w:szCs w:val="22"/>
              </w:rPr>
              <w:t>Municipio</w:t>
            </w:r>
          </w:p>
        </w:tc>
        <w:tc>
          <w:tcPr>
            <w:tcW w:w="1790" w:type="pct"/>
            <w:shd w:val="clear" w:color="auto" w:fill="D9D9D9" w:themeFill="background1" w:themeFillShade="D9"/>
            <w:tcMar>
              <w:top w:w="0" w:type="dxa"/>
              <w:left w:w="108" w:type="dxa"/>
              <w:bottom w:w="0" w:type="dxa"/>
              <w:right w:w="108" w:type="dxa"/>
            </w:tcMar>
            <w:vAlign w:val="center"/>
            <w:hideMark/>
          </w:tcPr>
          <w:p w14:paraId="6CD03307" w14:textId="77777777" w:rsidR="00411DA8" w:rsidRPr="004E27C4" w:rsidRDefault="00411DA8" w:rsidP="00D7505D">
            <w:pPr>
              <w:jc w:val="both"/>
              <w:rPr>
                <w:rFonts w:cstheme="minorHAnsi"/>
                <w:color w:val="000000" w:themeColor="text1"/>
                <w:sz w:val="22"/>
                <w:szCs w:val="22"/>
              </w:rPr>
            </w:pPr>
            <w:r w:rsidRPr="004E27C4">
              <w:rPr>
                <w:rFonts w:cstheme="minorHAnsi"/>
                <w:b/>
                <w:bCs/>
                <w:color w:val="000000" w:themeColor="text1"/>
                <w:sz w:val="22"/>
                <w:szCs w:val="22"/>
              </w:rPr>
              <w:t>Sector</w:t>
            </w:r>
          </w:p>
        </w:tc>
      </w:tr>
      <w:tr w:rsidR="00411DA8" w:rsidRPr="004E27C4" w14:paraId="3B488CB3" w14:textId="77777777" w:rsidTr="00D7505D">
        <w:trPr>
          <w:jc w:val="center"/>
        </w:trPr>
        <w:tc>
          <w:tcPr>
            <w:tcW w:w="5000" w:type="pct"/>
            <w:gridSpan w:val="4"/>
            <w:shd w:val="clear" w:color="auto" w:fill="F2F2F2" w:themeFill="background1" w:themeFillShade="F2"/>
            <w:tcMar>
              <w:top w:w="0" w:type="dxa"/>
              <w:left w:w="108" w:type="dxa"/>
              <w:bottom w:w="0" w:type="dxa"/>
              <w:right w:w="108" w:type="dxa"/>
            </w:tcMar>
            <w:vAlign w:val="center"/>
          </w:tcPr>
          <w:p w14:paraId="344AF93E" w14:textId="77777777" w:rsidR="00411DA8" w:rsidRPr="004E27C4" w:rsidRDefault="00411DA8" w:rsidP="00D7505D">
            <w:pPr>
              <w:jc w:val="center"/>
              <w:rPr>
                <w:rFonts w:cstheme="minorHAnsi"/>
                <w:b/>
                <w:bCs/>
                <w:color w:val="000000" w:themeColor="text1"/>
                <w:sz w:val="22"/>
                <w:szCs w:val="22"/>
              </w:rPr>
            </w:pPr>
            <w:r w:rsidRPr="004E27C4">
              <w:rPr>
                <w:rFonts w:cstheme="minorHAnsi"/>
                <w:b/>
                <w:bCs/>
                <w:color w:val="000000" w:themeColor="text1"/>
                <w:sz w:val="22"/>
                <w:szCs w:val="22"/>
              </w:rPr>
              <w:t>Ameca-Mascota</w:t>
            </w:r>
          </w:p>
        </w:tc>
      </w:tr>
      <w:tr w:rsidR="00411DA8" w:rsidRPr="00E71822" w14:paraId="1EE8F0C9" w14:textId="77777777" w:rsidTr="004E27C4">
        <w:trPr>
          <w:jc w:val="center"/>
        </w:trPr>
        <w:tc>
          <w:tcPr>
            <w:tcW w:w="783" w:type="pct"/>
            <w:shd w:val="clear" w:color="auto" w:fill="FFFFFF" w:themeFill="background1"/>
            <w:tcMar>
              <w:top w:w="0" w:type="dxa"/>
              <w:left w:w="108" w:type="dxa"/>
              <w:bottom w:w="0" w:type="dxa"/>
              <w:right w:w="108" w:type="dxa"/>
            </w:tcMar>
            <w:vAlign w:val="center"/>
            <w:hideMark/>
          </w:tcPr>
          <w:p w14:paraId="694A8C50" w14:textId="6F9078EE" w:rsidR="00411DA8" w:rsidRPr="004E27C4" w:rsidRDefault="004E27C4" w:rsidP="00D7505D">
            <w:pPr>
              <w:jc w:val="both"/>
              <w:rPr>
                <w:rFonts w:cstheme="minorHAnsi"/>
                <w:color w:val="000000" w:themeColor="text1"/>
                <w:sz w:val="22"/>
                <w:szCs w:val="22"/>
              </w:rPr>
            </w:pPr>
            <w:r w:rsidRPr="004E27C4">
              <w:rPr>
                <w:rFonts w:cstheme="minorHAnsi"/>
                <w:color w:val="000000" w:themeColor="text1"/>
                <w:sz w:val="22"/>
                <w:szCs w:val="22"/>
              </w:rPr>
              <w:t>Financieras</w:t>
            </w:r>
          </w:p>
        </w:tc>
        <w:tc>
          <w:tcPr>
            <w:tcW w:w="1676" w:type="pct"/>
            <w:shd w:val="clear" w:color="auto" w:fill="FFFFFF" w:themeFill="background1"/>
            <w:tcMar>
              <w:top w:w="0" w:type="dxa"/>
              <w:left w:w="108" w:type="dxa"/>
              <w:bottom w:w="0" w:type="dxa"/>
              <w:right w:w="108" w:type="dxa"/>
            </w:tcMar>
            <w:vAlign w:val="center"/>
            <w:hideMark/>
          </w:tcPr>
          <w:p w14:paraId="6BF5B85E" w14:textId="77777777" w:rsidR="00411DA8" w:rsidRPr="004E27C4" w:rsidRDefault="00411DA8" w:rsidP="00D7505D">
            <w:pPr>
              <w:jc w:val="both"/>
              <w:rPr>
                <w:rFonts w:cstheme="minorHAnsi"/>
                <w:color w:val="000000" w:themeColor="text1"/>
                <w:sz w:val="22"/>
                <w:szCs w:val="22"/>
              </w:rPr>
            </w:pPr>
            <w:r w:rsidRPr="004E27C4">
              <w:rPr>
                <w:rFonts w:cstheme="minorHAnsi"/>
                <w:color w:val="000000" w:themeColor="text1"/>
                <w:sz w:val="22"/>
                <w:szCs w:val="22"/>
              </w:rPr>
              <w:t xml:space="preserve">SIFRA </w:t>
            </w:r>
            <w:proofErr w:type="spellStart"/>
            <w:r w:rsidRPr="004E27C4">
              <w:rPr>
                <w:rFonts w:cstheme="minorHAnsi"/>
                <w:color w:val="000000" w:themeColor="text1"/>
                <w:sz w:val="22"/>
                <w:szCs w:val="22"/>
              </w:rPr>
              <w:t>Cooperative</w:t>
            </w:r>
            <w:proofErr w:type="spellEnd"/>
          </w:p>
        </w:tc>
        <w:tc>
          <w:tcPr>
            <w:tcW w:w="751" w:type="pct"/>
            <w:shd w:val="clear" w:color="auto" w:fill="FFFFFF" w:themeFill="background1"/>
            <w:tcMar>
              <w:top w:w="0" w:type="dxa"/>
              <w:left w:w="108" w:type="dxa"/>
              <w:bottom w:w="0" w:type="dxa"/>
              <w:right w:w="108" w:type="dxa"/>
            </w:tcMar>
            <w:vAlign w:val="center"/>
            <w:hideMark/>
          </w:tcPr>
          <w:p w14:paraId="4CAEF026" w14:textId="77777777" w:rsidR="00411DA8" w:rsidRPr="004E27C4" w:rsidRDefault="00411DA8" w:rsidP="00D7505D">
            <w:pPr>
              <w:jc w:val="both"/>
              <w:rPr>
                <w:rFonts w:cstheme="minorHAnsi"/>
                <w:color w:val="000000" w:themeColor="text1"/>
                <w:sz w:val="22"/>
                <w:szCs w:val="22"/>
              </w:rPr>
            </w:pPr>
            <w:proofErr w:type="spellStart"/>
            <w:r w:rsidRPr="004E27C4">
              <w:rPr>
                <w:rFonts w:cstheme="minorHAnsi"/>
                <w:color w:val="000000" w:themeColor="text1"/>
                <w:sz w:val="22"/>
                <w:szCs w:val="22"/>
              </w:rPr>
              <w:t>Atenguillo</w:t>
            </w:r>
            <w:proofErr w:type="spellEnd"/>
          </w:p>
        </w:tc>
        <w:tc>
          <w:tcPr>
            <w:tcW w:w="1790" w:type="pct"/>
            <w:shd w:val="clear" w:color="auto" w:fill="FFFFFF" w:themeFill="background1"/>
            <w:tcMar>
              <w:top w:w="0" w:type="dxa"/>
              <w:left w:w="108" w:type="dxa"/>
              <w:bottom w:w="0" w:type="dxa"/>
              <w:right w:w="108" w:type="dxa"/>
            </w:tcMar>
            <w:vAlign w:val="center"/>
            <w:hideMark/>
          </w:tcPr>
          <w:p w14:paraId="6E3FC156" w14:textId="77777777" w:rsidR="00411DA8" w:rsidRPr="00E71822" w:rsidRDefault="00411DA8" w:rsidP="00D7505D">
            <w:pPr>
              <w:jc w:val="both"/>
              <w:rPr>
                <w:rFonts w:cstheme="minorHAnsi"/>
                <w:color w:val="000000" w:themeColor="text1"/>
                <w:sz w:val="22"/>
                <w:szCs w:val="22"/>
                <w:lang w:val="en-US"/>
              </w:rPr>
            </w:pPr>
            <w:r w:rsidRPr="00E71822">
              <w:rPr>
                <w:rFonts w:cstheme="minorHAnsi"/>
                <w:color w:val="000000" w:themeColor="text1"/>
                <w:sz w:val="22"/>
                <w:szCs w:val="22"/>
                <w:lang w:val="en-US"/>
              </w:rPr>
              <w:t>Credits for financing agricultural projects</w:t>
            </w:r>
          </w:p>
        </w:tc>
      </w:tr>
      <w:tr w:rsidR="004E27C4" w:rsidRPr="00E71822" w14:paraId="48A625D6" w14:textId="77777777" w:rsidTr="004E27C4">
        <w:trPr>
          <w:jc w:val="center"/>
        </w:trPr>
        <w:tc>
          <w:tcPr>
            <w:tcW w:w="783" w:type="pct"/>
            <w:shd w:val="clear" w:color="auto" w:fill="FFFFFF" w:themeFill="background1"/>
            <w:tcMar>
              <w:top w:w="0" w:type="dxa"/>
              <w:left w:w="108" w:type="dxa"/>
              <w:bottom w:w="0" w:type="dxa"/>
              <w:right w:w="108" w:type="dxa"/>
            </w:tcMar>
            <w:hideMark/>
          </w:tcPr>
          <w:p w14:paraId="696A2243" w14:textId="1E6F3EF9"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Financieras</w:t>
            </w:r>
          </w:p>
        </w:tc>
        <w:tc>
          <w:tcPr>
            <w:tcW w:w="1676" w:type="pct"/>
            <w:shd w:val="clear" w:color="auto" w:fill="FFFFFF" w:themeFill="background1"/>
            <w:tcMar>
              <w:top w:w="0" w:type="dxa"/>
              <w:left w:w="108" w:type="dxa"/>
              <w:bottom w:w="0" w:type="dxa"/>
              <w:right w:w="108" w:type="dxa"/>
            </w:tcMar>
            <w:vAlign w:val="center"/>
            <w:hideMark/>
          </w:tcPr>
          <w:p w14:paraId="27B15CFA"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Caja Popular Agustín de Iturbide</w:t>
            </w:r>
          </w:p>
        </w:tc>
        <w:tc>
          <w:tcPr>
            <w:tcW w:w="751" w:type="pct"/>
            <w:shd w:val="clear" w:color="auto" w:fill="FFFFFF" w:themeFill="background1"/>
            <w:tcMar>
              <w:top w:w="0" w:type="dxa"/>
              <w:left w:w="108" w:type="dxa"/>
              <w:bottom w:w="0" w:type="dxa"/>
              <w:right w:w="108" w:type="dxa"/>
            </w:tcMar>
            <w:vAlign w:val="center"/>
            <w:hideMark/>
          </w:tcPr>
          <w:p w14:paraId="5A48A73B"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Regional</w:t>
            </w:r>
          </w:p>
        </w:tc>
        <w:tc>
          <w:tcPr>
            <w:tcW w:w="1790" w:type="pct"/>
            <w:shd w:val="clear" w:color="auto" w:fill="FFFFFF" w:themeFill="background1"/>
            <w:tcMar>
              <w:top w:w="0" w:type="dxa"/>
              <w:left w:w="108" w:type="dxa"/>
              <w:bottom w:w="0" w:type="dxa"/>
              <w:right w:w="108" w:type="dxa"/>
            </w:tcMar>
            <w:vAlign w:val="center"/>
            <w:hideMark/>
          </w:tcPr>
          <w:p w14:paraId="3044560E" w14:textId="77777777" w:rsidR="004E27C4" w:rsidRPr="00E71822" w:rsidRDefault="004E27C4" w:rsidP="004E27C4">
            <w:pPr>
              <w:jc w:val="both"/>
              <w:rPr>
                <w:rFonts w:cstheme="minorHAnsi"/>
                <w:color w:val="000000" w:themeColor="text1"/>
                <w:sz w:val="22"/>
                <w:szCs w:val="22"/>
                <w:lang w:val="en-US"/>
              </w:rPr>
            </w:pPr>
            <w:r w:rsidRPr="00E71822">
              <w:rPr>
                <w:rFonts w:cstheme="minorHAnsi"/>
                <w:color w:val="000000" w:themeColor="text1"/>
                <w:sz w:val="22"/>
                <w:szCs w:val="22"/>
                <w:lang w:val="en-US"/>
              </w:rPr>
              <w:t>Credits for financing agricultural projects</w:t>
            </w:r>
          </w:p>
        </w:tc>
      </w:tr>
      <w:tr w:rsidR="004E27C4" w:rsidRPr="00E71822" w14:paraId="3E1C9E43" w14:textId="77777777" w:rsidTr="004E27C4">
        <w:trPr>
          <w:jc w:val="center"/>
        </w:trPr>
        <w:tc>
          <w:tcPr>
            <w:tcW w:w="783" w:type="pct"/>
            <w:shd w:val="clear" w:color="auto" w:fill="FFFFFF" w:themeFill="background1"/>
            <w:tcMar>
              <w:top w:w="0" w:type="dxa"/>
              <w:left w:w="108" w:type="dxa"/>
              <w:bottom w:w="0" w:type="dxa"/>
              <w:right w:w="108" w:type="dxa"/>
            </w:tcMar>
            <w:hideMark/>
          </w:tcPr>
          <w:p w14:paraId="290658E9" w14:textId="35F8ED4D"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Financieras</w:t>
            </w:r>
          </w:p>
        </w:tc>
        <w:tc>
          <w:tcPr>
            <w:tcW w:w="1676" w:type="pct"/>
            <w:shd w:val="clear" w:color="auto" w:fill="FFFFFF" w:themeFill="background1"/>
            <w:tcMar>
              <w:top w:w="0" w:type="dxa"/>
              <w:left w:w="108" w:type="dxa"/>
              <w:bottom w:w="0" w:type="dxa"/>
              <w:right w:w="108" w:type="dxa"/>
            </w:tcMar>
            <w:vAlign w:val="center"/>
            <w:hideMark/>
          </w:tcPr>
          <w:p w14:paraId="738DB823"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 xml:space="preserve">Christopher Columbus Popular </w:t>
            </w:r>
            <w:proofErr w:type="spellStart"/>
            <w:r w:rsidRPr="004E27C4">
              <w:rPr>
                <w:rFonts w:cstheme="minorHAnsi"/>
                <w:color w:val="000000" w:themeColor="text1"/>
                <w:sz w:val="22"/>
                <w:szCs w:val="22"/>
              </w:rPr>
              <w:t>Fund</w:t>
            </w:r>
            <w:proofErr w:type="spellEnd"/>
          </w:p>
        </w:tc>
        <w:tc>
          <w:tcPr>
            <w:tcW w:w="751" w:type="pct"/>
            <w:shd w:val="clear" w:color="auto" w:fill="FFFFFF" w:themeFill="background1"/>
            <w:tcMar>
              <w:top w:w="0" w:type="dxa"/>
              <w:left w:w="108" w:type="dxa"/>
              <w:bottom w:w="0" w:type="dxa"/>
              <w:right w:w="108" w:type="dxa"/>
            </w:tcMar>
            <w:vAlign w:val="center"/>
            <w:hideMark/>
          </w:tcPr>
          <w:p w14:paraId="1EDDFA39"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Regional</w:t>
            </w:r>
          </w:p>
        </w:tc>
        <w:tc>
          <w:tcPr>
            <w:tcW w:w="1790" w:type="pct"/>
            <w:shd w:val="clear" w:color="auto" w:fill="FFFFFF" w:themeFill="background1"/>
            <w:tcMar>
              <w:top w:w="0" w:type="dxa"/>
              <w:left w:w="108" w:type="dxa"/>
              <w:bottom w:w="0" w:type="dxa"/>
              <w:right w:w="108" w:type="dxa"/>
            </w:tcMar>
            <w:vAlign w:val="center"/>
            <w:hideMark/>
          </w:tcPr>
          <w:p w14:paraId="44D51893" w14:textId="77777777" w:rsidR="004E27C4" w:rsidRPr="00E71822" w:rsidRDefault="004E27C4" w:rsidP="004E27C4">
            <w:pPr>
              <w:jc w:val="both"/>
              <w:rPr>
                <w:rFonts w:cstheme="minorHAnsi"/>
                <w:color w:val="000000" w:themeColor="text1"/>
                <w:sz w:val="22"/>
                <w:szCs w:val="22"/>
                <w:lang w:val="en-US"/>
              </w:rPr>
            </w:pPr>
            <w:r w:rsidRPr="00E71822">
              <w:rPr>
                <w:rFonts w:cstheme="minorHAnsi"/>
                <w:color w:val="000000" w:themeColor="text1"/>
                <w:sz w:val="22"/>
                <w:szCs w:val="22"/>
                <w:lang w:val="en-US"/>
              </w:rPr>
              <w:t>Credits for financing agricultural projects</w:t>
            </w:r>
          </w:p>
        </w:tc>
      </w:tr>
      <w:tr w:rsidR="004E27C4" w:rsidRPr="00E71822" w14:paraId="34CA6964" w14:textId="77777777" w:rsidTr="004E27C4">
        <w:trPr>
          <w:jc w:val="center"/>
        </w:trPr>
        <w:tc>
          <w:tcPr>
            <w:tcW w:w="783" w:type="pct"/>
            <w:shd w:val="clear" w:color="auto" w:fill="FFFFFF" w:themeFill="background1"/>
            <w:tcMar>
              <w:top w:w="0" w:type="dxa"/>
              <w:left w:w="108" w:type="dxa"/>
              <w:bottom w:w="0" w:type="dxa"/>
              <w:right w:w="108" w:type="dxa"/>
            </w:tcMar>
            <w:hideMark/>
          </w:tcPr>
          <w:p w14:paraId="6AF04887" w14:textId="0A1FA084"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Financieras</w:t>
            </w:r>
          </w:p>
        </w:tc>
        <w:tc>
          <w:tcPr>
            <w:tcW w:w="1676" w:type="pct"/>
            <w:shd w:val="clear" w:color="auto" w:fill="FFFFFF" w:themeFill="background1"/>
            <w:tcMar>
              <w:top w:w="0" w:type="dxa"/>
              <w:left w:w="108" w:type="dxa"/>
              <w:bottom w:w="0" w:type="dxa"/>
              <w:right w:w="108" w:type="dxa"/>
            </w:tcMar>
            <w:vAlign w:val="center"/>
            <w:hideMark/>
          </w:tcPr>
          <w:p w14:paraId="1F1B5B3B"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FIRA</w:t>
            </w:r>
          </w:p>
        </w:tc>
        <w:tc>
          <w:tcPr>
            <w:tcW w:w="751" w:type="pct"/>
            <w:shd w:val="clear" w:color="auto" w:fill="FFFFFF" w:themeFill="background1"/>
            <w:tcMar>
              <w:top w:w="0" w:type="dxa"/>
              <w:left w:w="108" w:type="dxa"/>
              <w:bottom w:w="0" w:type="dxa"/>
              <w:right w:w="108" w:type="dxa"/>
            </w:tcMar>
            <w:vAlign w:val="center"/>
            <w:hideMark/>
          </w:tcPr>
          <w:p w14:paraId="7787A765"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Federal</w:t>
            </w:r>
          </w:p>
        </w:tc>
        <w:tc>
          <w:tcPr>
            <w:tcW w:w="1790" w:type="pct"/>
            <w:shd w:val="clear" w:color="auto" w:fill="FFFFFF" w:themeFill="background1"/>
            <w:tcMar>
              <w:top w:w="0" w:type="dxa"/>
              <w:left w:w="108" w:type="dxa"/>
              <w:bottom w:w="0" w:type="dxa"/>
              <w:right w:w="108" w:type="dxa"/>
            </w:tcMar>
            <w:vAlign w:val="center"/>
            <w:hideMark/>
          </w:tcPr>
          <w:p w14:paraId="2A2DBA0A" w14:textId="77777777" w:rsidR="004E27C4" w:rsidRPr="00E71822" w:rsidRDefault="004E27C4" w:rsidP="004E27C4">
            <w:pPr>
              <w:jc w:val="both"/>
              <w:rPr>
                <w:rFonts w:cstheme="minorHAnsi"/>
                <w:color w:val="000000" w:themeColor="text1"/>
                <w:sz w:val="22"/>
                <w:szCs w:val="22"/>
                <w:lang w:val="en-US"/>
              </w:rPr>
            </w:pPr>
            <w:r w:rsidRPr="00E71822">
              <w:rPr>
                <w:rFonts w:cstheme="minorHAnsi"/>
                <w:color w:val="000000" w:themeColor="text1"/>
                <w:sz w:val="22"/>
                <w:szCs w:val="22"/>
                <w:lang w:val="en-US"/>
              </w:rPr>
              <w:t>Farming</w:t>
            </w:r>
          </w:p>
          <w:p w14:paraId="3746DE49" w14:textId="77777777" w:rsidR="004E27C4" w:rsidRPr="00E71822" w:rsidRDefault="004E27C4" w:rsidP="004E27C4">
            <w:pPr>
              <w:jc w:val="both"/>
              <w:rPr>
                <w:rFonts w:cstheme="minorHAnsi"/>
                <w:color w:val="000000" w:themeColor="text1"/>
                <w:sz w:val="22"/>
                <w:szCs w:val="22"/>
                <w:lang w:val="en-US"/>
              </w:rPr>
            </w:pPr>
            <w:r w:rsidRPr="00E71822">
              <w:rPr>
                <w:rFonts w:cstheme="minorHAnsi"/>
                <w:color w:val="000000" w:themeColor="text1"/>
                <w:sz w:val="22"/>
                <w:szCs w:val="22"/>
                <w:lang w:val="en-US"/>
              </w:rPr>
              <w:t>I</w:t>
            </w:r>
            <w:r w:rsidRPr="00E71822">
              <w:rPr>
                <w:rFonts w:cstheme="minorHAnsi"/>
                <w:i/>
                <w:color w:val="000000" w:themeColor="text1"/>
                <w:sz w:val="22"/>
                <w:szCs w:val="22"/>
                <w:lang w:val="en-US"/>
              </w:rPr>
              <w:t>ncludes climate-smart practices</w:t>
            </w:r>
          </w:p>
        </w:tc>
      </w:tr>
      <w:tr w:rsidR="004E27C4" w:rsidRPr="004E27C4" w14:paraId="4C85F71B" w14:textId="77777777" w:rsidTr="004E27C4">
        <w:trPr>
          <w:jc w:val="center"/>
        </w:trPr>
        <w:tc>
          <w:tcPr>
            <w:tcW w:w="783" w:type="pct"/>
            <w:shd w:val="clear" w:color="auto" w:fill="FFFFFF" w:themeFill="background1"/>
            <w:tcMar>
              <w:top w:w="0" w:type="dxa"/>
              <w:left w:w="108" w:type="dxa"/>
              <w:bottom w:w="0" w:type="dxa"/>
              <w:right w:w="108" w:type="dxa"/>
            </w:tcMar>
            <w:hideMark/>
          </w:tcPr>
          <w:p w14:paraId="5439F71F" w14:textId="75FDC729"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Financieras</w:t>
            </w:r>
          </w:p>
        </w:tc>
        <w:tc>
          <w:tcPr>
            <w:tcW w:w="1676" w:type="pct"/>
            <w:shd w:val="clear" w:color="auto" w:fill="FFFFFF" w:themeFill="background1"/>
            <w:tcMar>
              <w:top w:w="0" w:type="dxa"/>
              <w:left w:w="108" w:type="dxa"/>
              <w:bottom w:w="0" w:type="dxa"/>
              <w:right w:w="108" w:type="dxa"/>
            </w:tcMar>
            <w:vAlign w:val="center"/>
            <w:hideMark/>
          </w:tcPr>
          <w:p w14:paraId="4ECA3947" w14:textId="77777777" w:rsidR="004E27C4" w:rsidRPr="00E71822" w:rsidRDefault="004E27C4" w:rsidP="004E27C4">
            <w:pPr>
              <w:jc w:val="both"/>
              <w:rPr>
                <w:rFonts w:eastAsia="MS Mincho" w:cstheme="minorHAnsi"/>
                <w:color w:val="000000" w:themeColor="text1"/>
                <w:sz w:val="22"/>
                <w:szCs w:val="22"/>
                <w:lang w:val="en-US" w:eastAsia="en-GB"/>
              </w:rPr>
            </w:pPr>
            <w:r w:rsidRPr="00E71822">
              <w:rPr>
                <w:rFonts w:eastAsia="MS Mincho" w:cstheme="minorHAnsi"/>
                <w:color w:val="000000" w:themeColor="text1"/>
                <w:sz w:val="22"/>
                <w:szCs w:val="22"/>
                <w:lang w:val="en-US" w:eastAsia="en-GB"/>
              </w:rPr>
              <w:t>Consumer cooperative, supplies</w:t>
            </w:r>
          </w:p>
          <w:p w14:paraId="3F042A8A" w14:textId="77777777" w:rsidR="004E27C4" w:rsidRPr="00E71822" w:rsidRDefault="004E27C4" w:rsidP="004E27C4">
            <w:pPr>
              <w:jc w:val="both"/>
              <w:rPr>
                <w:rFonts w:eastAsia="MS Mincho" w:cstheme="minorHAnsi"/>
                <w:color w:val="000000" w:themeColor="text1"/>
                <w:sz w:val="22"/>
                <w:szCs w:val="22"/>
                <w:lang w:val="en-US" w:eastAsia="en-GB"/>
              </w:rPr>
            </w:pPr>
            <w:r w:rsidRPr="00E71822">
              <w:rPr>
                <w:rFonts w:eastAsia="MS Mincho" w:cstheme="minorHAnsi"/>
                <w:color w:val="000000" w:themeColor="text1"/>
                <w:sz w:val="22"/>
                <w:szCs w:val="22"/>
                <w:lang w:val="en-US" w:eastAsia="en-GB"/>
              </w:rPr>
              <w:t>Livestock of Jalisco SC de RI de</w:t>
            </w:r>
          </w:p>
          <w:p w14:paraId="1DE0D07E"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CV</w:t>
            </w:r>
          </w:p>
        </w:tc>
        <w:tc>
          <w:tcPr>
            <w:tcW w:w="751" w:type="pct"/>
            <w:shd w:val="clear" w:color="auto" w:fill="FFFFFF" w:themeFill="background1"/>
            <w:tcMar>
              <w:top w:w="0" w:type="dxa"/>
              <w:left w:w="108" w:type="dxa"/>
              <w:bottom w:w="0" w:type="dxa"/>
              <w:right w:w="108" w:type="dxa"/>
            </w:tcMar>
            <w:vAlign w:val="center"/>
            <w:hideMark/>
          </w:tcPr>
          <w:p w14:paraId="54AB3BE0"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Jalisco</w:t>
            </w:r>
          </w:p>
        </w:tc>
        <w:tc>
          <w:tcPr>
            <w:tcW w:w="1790" w:type="pct"/>
            <w:shd w:val="clear" w:color="auto" w:fill="FFFFFF" w:themeFill="background1"/>
            <w:tcMar>
              <w:top w:w="0" w:type="dxa"/>
              <w:left w:w="108" w:type="dxa"/>
              <w:bottom w:w="0" w:type="dxa"/>
              <w:right w:w="108" w:type="dxa"/>
            </w:tcMar>
            <w:vAlign w:val="center"/>
            <w:hideMark/>
          </w:tcPr>
          <w:p w14:paraId="4824F2DE" w14:textId="77777777" w:rsidR="004E27C4" w:rsidRPr="004E27C4" w:rsidRDefault="004E27C4" w:rsidP="004E27C4">
            <w:pPr>
              <w:jc w:val="both"/>
              <w:rPr>
                <w:rFonts w:cstheme="minorHAnsi"/>
                <w:color w:val="000000" w:themeColor="text1"/>
                <w:sz w:val="22"/>
                <w:szCs w:val="22"/>
              </w:rPr>
            </w:pPr>
            <w:proofErr w:type="spellStart"/>
            <w:r w:rsidRPr="004E27C4">
              <w:rPr>
                <w:rFonts w:cstheme="minorHAnsi"/>
                <w:color w:val="000000" w:themeColor="text1"/>
                <w:sz w:val="22"/>
                <w:szCs w:val="22"/>
              </w:rPr>
              <w:t>Livestock</w:t>
            </w:r>
            <w:proofErr w:type="spellEnd"/>
          </w:p>
        </w:tc>
      </w:tr>
      <w:tr w:rsidR="00411DA8" w:rsidRPr="004E27C4" w14:paraId="08F6FA70" w14:textId="77777777" w:rsidTr="004E27C4">
        <w:trPr>
          <w:jc w:val="center"/>
        </w:trPr>
        <w:tc>
          <w:tcPr>
            <w:tcW w:w="783" w:type="pct"/>
            <w:shd w:val="clear" w:color="auto" w:fill="FFFFFF" w:themeFill="background1"/>
            <w:tcMar>
              <w:top w:w="0" w:type="dxa"/>
              <w:left w:w="108" w:type="dxa"/>
              <w:bottom w:w="0" w:type="dxa"/>
              <w:right w:w="108" w:type="dxa"/>
            </w:tcMar>
            <w:vAlign w:val="center"/>
          </w:tcPr>
          <w:p w14:paraId="0D507E3A"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Organización sin fines de lucro</w:t>
            </w:r>
          </w:p>
          <w:p w14:paraId="4A659316" w14:textId="75A6712B" w:rsidR="00411DA8" w:rsidRPr="004E27C4" w:rsidRDefault="00411DA8" w:rsidP="00D7505D">
            <w:pPr>
              <w:jc w:val="both"/>
              <w:rPr>
                <w:rFonts w:cstheme="minorHAnsi"/>
                <w:color w:val="000000" w:themeColor="text1"/>
                <w:sz w:val="22"/>
                <w:szCs w:val="22"/>
              </w:rPr>
            </w:pPr>
          </w:p>
        </w:tc>
        <w:tc>
          <w:tcPr>
            <w:tcW w:w="1676" w:type="pct"/>
            <w:shd w:val="clear" w:color="auto" w:fill="FFFFFF" w:themeFill="background1"/>
            <w:tcMar>
              <w:top w:w="0" w:type="dxa"/>
              <w:left w:w="108" w:type="dxa"/>
              <w:bottom w:w="0" w:type="dxa"/>
              <w:right w:w="108" w:type="dxa"/>
            </w:tcMar>
            <w:vAlign w:val="center"/>
          </w:tcPr>
          <w:p w14:paraId="35C88963" w14:textId="77777777" w:rsidR="00411DA8" w:rsidRPr="004E27C4" w:rsidRDefault="00411DA8" w:rsidP="00D7505D">
            <w:pPr>
              <w:jc w:val="both"/>
              <w:rPr>
                <w:rFonts w:cstheme="minorHAnsi"/>
                <w:color w:val="000000" w:themeColor="text1"/>
                <w:sz w:val="22"/>
                <w:szCs w:val="22"/>
              </w:rPr>
            </w:pPr>
            <w:r w:rsidRPr="004E27C4">
              <w:rPr>
                <w:rFonts w:cstheme="minorHAnsi"/>
                <w:color w:val="000000" w:themeColor="text1"/>
                <w:sz w:val="22"/>
                <w:szCs w:val="22"/>
              </w:rPr>
              <w:t xml:space="preserve">Jalisco Regional </w:t>
            </w:r>
            <w:proofErr w:type="spellStart"/>
            <w:r w:rsidRPr="004E27C4">
              <w:rPr>
                <w:rFonts w:cstheme="minorHAnsi"/>
                <w:color w:val="000000" w:themeColor="text1"/>
                <w:sz w:val="22"/>
                <w:szCs w:val="22"/>
              </w:rPr>
              <w:t>Livestock</w:t>
            </w:r>
            <w:proofErr w:type="spellEnd"/>
            <w:r w:rsidRPr="004E27C4">
              <w:rPr>
                <w:rFonts w:cstheme="minorHAnsi"/>
                <w:color w:val="000000" w:themeColor="text1"/>
                <w:sz w:val="22"/>
                <w:szCs w:val="22"/>
              </w:rPr>
              <w:t xml:space="preserve"> </w:t>
            </w:r>
            <w:proofErr w:type="spellStart"/>
            <w:r w:rsidRPr="004E27C4">
              <w:rPr>
                <w:rFonts w:cstheme="minorHAnsi"/>
                <w:color w:val="000000" w:themeColor="text1"/>
                <w:sz w:val="22"/>
                <w:szCs w:val="22"/>
              </w:rPr>
              <w:t>Union</w:t>
            </w:r>
            <w:proofErr w:type="spellEnd"/>
          </w:p>
        </w:tc>
        <w:tc>
          <w:tcPr>
            <w:tcW w:w="751" w:type="pct"/>
            <w:shd w:val="clear" w:color="auto" w:fill="FFFFFF" w:themeFill="background1"/>
            <w:tcMar>
              <w:top w:w="0" w:type="dxa"/>
              <w:left w:w="108" w:type="dxa"/>
              <w:bottom w:w="0" w:type="dxa"/>
              <w:right w:w="108" w:type="dxa"/>
            </w:tcMar>
            <w:vAlign w:val="center"/>
          </w:tcPr>
          <w:p w14:paraId="694B5EFF" w14:textId="77777777" w:rsidR="00411DA8" w:rsidRPr="004E27C4" w:rsidRDefault="00411DA8" w:rsidP="00D7505D">
            <w:pPr>
              <w:jc w:val="both"/>
              <w:rPr>
                <w:rFonts w:cstheme="minorHAnsi"/>
                <w:color w:val="000000" w:themeColor="text1"/>
                <w:sz w:val="22"/>
                <w:szCs w:val="22"/>
              </w:rPr>
            </w:pPr>
            <w:r w:rsidRPr="004E27C4">
              <w:rPr>
                <w:rFonts w:cstheme="minorHAnsi"/>
                <w:color w:val="000000" w:themeColor="text1"/>
                <w:sz w:val="22"/>
                <w:szCs w:val="22"/>
              </w:rPr>
              <w:t>Jalisco</w:t>
            </w:r>
          </w:p>
        </w:tc>
        <w:tc>
          <w:tcPr>
            <w:tcW w:w="1790" w:type="pct"/>
            <w:shd w:val="clear" w:color="auto" w:fill="FFFFFF" w:themeFill="background1"/>
            <w:tcMar>
              <w:top w:w="0" w:type="dxa"/>
              <w:left w:w="108" w:type="dxa"/>
              <w:bottom w:w="0" w:type="dxa"/>
              <w:right w:w="108" w:type="dxa"/>
            </w:tcMar>
            <w:vAlign w:val="center"/>
          </w:tcPr>
          <w:p w14:paraId="0B885A25" w14:textId="77777777" w:rsidR="00411DA8" w:rsidRPr="004E27C4" w:rsidRDefault="00411DA8" w:rsidP="00D7505D">
            <w:pPr>
              <w:jc w:val="both"/>
              <w:rPr>
                <w:rFonts w:cstheme="minorHAnsi"/>
                <w:color w:val="000000" w:themeColor="text1"/>
                <w:sz w:val="22"/>
                <w:szCs w:val="22"/>
              </w:rPr>
            </w:pPr>
            <w:proofErr w:type="spellStart"/>
            <w:r w:rsidRPr="004E27C4">
              <w:rPr>
                <w:rFonts w:cstheme="minorHAnsi"/>
                <w:color w:val="000000" w:themeColor="text1"/>
                <w:sz w:val="22"/>
                <w:szCs w:val="22"/>
              </w:rPr>
              <w:t>Cattle</w:t>
            </w:r>
            <w:proofErr w:type="spellEnd"/>
            <w:r w:rsidRPr="004E27C4">
              <w:rPr>
                <w:rFonts w:cstheme="minorHAnsi"/>
                <w:color w:val="000000" w:themeColor="text1"/>
                <w:sz w:val="22"/>
                <w:szCs w:val="22"/>
              </w:rPr>
              <w:t xml:space="preserve"> </w:t>
            </w:r>
            <w:proofErr w:type="spellStart"/>
            <w:r w:rsidRPr="004E27C4">
              <w:rPr>
                <w:rFonts w:cstheme="minorHAnsi"/>
                <w:color w:val="000000" w:themeColor="text1"/>
                <w:sz w:val="22"/>
                <w:szCs w:val="22"/>
              </w:rPr>
              <w:t>raising</w:t>
            </w:r>
            <w:proofErr w:type="spellEnd"/>
          </w:p>
        </w:tc>
      </w:tr>
      <w:tr w:rsidR="00411DA8" w:rsidRPr="004E27C4" w14:paraId="585AC3AE" w14:textId="77777777" w:rsidTr="004E27C4">
        <w:trPr>
          <w:jc w:val="center"/>
        </w:trPr>
        <w:tc>
          <w:tcPr>
            <w:tcW w:w="783" w:type="pct"/>
            <w:shd w:val="clear" w:color="auto" w:fill="FFFFFF" w:themeFill="background1"/>
            <w:tcMar>
              <w:top w:w="0" w:type="dxa"/>
              <w:left w:w="108" w:type="dxa"/>
              <w:bottom w:w="0" w:type="dxa"/>
              <w:right w:w="108" w:type="dxa"/>
            </w:tcMar>
            <w:vAlign w:val="center"/>
          </w:tcPr>
          <w:p w14:paraId="03E6784B"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lastRenderedPageBreak/>
              <w:t>Organización sin fines de lucro</w:t>
            </w:r>
          </w:p>
          <w:p w14:paraId="05F2489F" w14:textId="6407376F" w:rsidR="00411DA8" w:rsidRPr="004E27C4" w:rsidRDefault="00411DA8" w:rsidP="00D7505D">
            <w:pPr>
              <w:jc w:val="both"/>
              <w:rPr>
                <w:rFonts w:cstheme="minorHAnsi"/>
                <w:color w:val="000000" w:themeColor="text1"/>
                <w:sz w:val="22"/>
                <w:szCs w:val="22"/>
              </w:rPr>
            </w:pPr>
          </w:p>
        </w:tc>
        <w:tc>
          <w:tcPr>
            <w:tcW w:w="1676" w:type="pct"/>
            <w:shd w:val="clear" w:color="auto" w:fill="FFFFFF" w:themeFill="background1"/>
            <w:tcMar>
              <w:top w:w="0" w:type="dxa"/>
              <w:left w:w="108" w:type="dxa"/>
              <w:bottom w:w="0" w:type="dxa"/>
              <w:right w:w="108" w:type="dxa"/>
            </w:tcMar>
            <w:vAlign w:val="center"/>
          </w:tcPr>
          <w:p w14:paraId="3AD8BC80" w14:textId="77777777" w:rsidR="00411DA8" w:rsidRPr="004E27C4" w:rsidRDefault="00411DA8" w:rsidP="00D7505D">
            <w:pPr>
              <w:jc w:val="both"/>
              <w:rPr>
                <w:rFonts w:cstheme="minorHAnsi"/>
                <w:color w:val="000000" w:themeColor="text1"/>
                <w:sz w:val="22"/>
                <w:szCs w:val="22"/>
              </w:rPr>
            </w:pPr>
            <w:r w:rsidRPr="004E27C4">
              <w:rPr>
                <w:rFonts w:cstheme="minorHAnsi"/>
                <w:color w:val="000000" w:themeColor="text1"/>
                <w:sz w:val="22"/>
                <w:szCs w:val="22"/>
              </w:rPr>
              <w:t xml:space="preserve">Local </w:t>
            </w:r>
            <w:proofErr w:type="spellStart"/>
            <w:r w:rsidRPr="004E27C4">
              <w:rPr>
                <w:rFonts w:cstheme="minorHAnsi"/>
                <w:color w:val="000000" w:themeColor="text1"/>
                <w:sz w:val="22"/>
                <w:szCs w:val="22"/>
              </w:rPr>
              <w:t>Livestock</w:t>
            </w:r>
            <w:proofErr w:type="spellEnd"/>
            <w:r w:rsidRPr="004E27C4">
              <w:rPr>
                <w:rFonts w:cstheme="minorHAnsi"/>
                <w:color w:val="000000" w:themeColor="text1"/>
                <w:sz w:val="22"/>
                <w:szCs w:val="22"/>
              </w:rPr>
              <w:t xml:space="preserve"> </w:t>
            </w:r>
            <w:proofErr w:type="spellStart"/>
            <w:r w:rsidRPr="004E27C4">
              <w:rPr>
                <w:rFonts w:cstheme="minorHAnsi"/>
                <w:color w:val="000000" w:themeColor="text1"/>
                <w:sz w:val="22"/>
                <w:szCs w:val="22"/>
              </w:rPr>
              <w:t>Associations</w:t>
            </w:r>
            <w:proofErr w:type="spellEnd"/>
          </w:p>
        </w:tc>
        <w:tc>
          <w:tcPr>
            <w:tcW w:w="751" w:type="pct"/>
            <w:shd w:val="clear" w:color="auto" w:fill="FFFFFF" w:themeFill="background1"/>
            <w:tcMar>
              <w:top w:w="0" w:type="dxa"/>
              <w:left w:w="108" w:type="dxa"/>
              <w:bottom w:w="0" w:type="dxa"/>
              <w:right w:w="108" w:type="dxa"/>
            </w:tcMar>
            <w:vAlign w:val="center"/>
          </w:tcPr>
          <w:p w14:paraId="27C451F1" w14:textId="77777777" w:rsidR="00411DA8" w:rsidRPr="004E27C4" w:rsidRDefault="00411DA8" w:rsidP="00D7505D">
            <w:pPr>
              <w:jc w:val="both"/>
              <w:rPr>
                <w:rFonts w:cstheme="minorHAnsi"/>
                <w:color w:val="000000" w:themeColor="text1"/>
                <w:sz w:val="22"/>
                <w:szCs w:val="22"/>
              </w:rPr>
            </w:pPr>
            <w:r w:rsidRPr="004E27C4">
              <w:rPr>
                <w:rFonts w:cstheme="minorHAnsi"/>
                <w:color w:val="000000" w:themeColor="text1"/>
                <w:sz w:val="22"/>
                <w:szCs w:val="22"/>
              </w:rPr>
              <w:t>Talpa de Allende y Mascota</w:t>
            </w:r>
          </w:p>
        </w:tc>
        <w:tc>
          <w:tcPr>
            <w:tcW w:w="1790" w:type="pct"/>
            <w:shd w:val="clear" w:color="auto" w:fill="FFFFFF" w:themeFill="background1"/>
            <w:tcMar>
              <w:top w:w="0" w:type="dxa"/>
              <w:left w:w="108" w:type="dxa"/>
              <w:bottom w:w="0" w:type="dxa"/>
              <w:right w:w="108" w:type="dxa"/>
            </w:tcMar>
            <w:vAlign w:val="center"/>
          </w:tcPr>
          <w:p w14:paraId="3188636B" w14:textId="77777777" w:rsidR="00411DA8" w:rsidRPr="004E27C4" w:rsidRDefault="00411DA8" w:rsidP="00D7505D">
            <w:pPr>
              <w:jc w:val="both"/>
              <w:rPr>
                <w:rFonts w:cstheme="minorHAnsi"/>
                <w:color w:val="000000" w:themeColor="text1"/>
                <w:sz w:val="22"/>
                <w:szCs w:val="22"/>
              </w:rPr>
            </w:pPr>
            <w:proofErr w:type="spellStart"/>
            <w:r w:rsidRPr="004E27C4">
              <w:rPr>
                <w:rFonts w:cstheme="minorHAnsi"/>
                <w:color w:val="000000" w:themeColor="text1"/>
                <w:sz w:val="22"/>
                <w:szCs w:val="22"/>
              </w:rPr>
              <w:t>Cattle</w:t>
            </w:r>
            <w:proofErr w:type="spellEnd"/>
            <w:r w:rsidRPr="004E27C4">
              <w:rPr>
                <w:rFonts w:cstheme="minorHAnsi"/>
                <w:color w:val="000000" w:themeColor="text1"/>
                <w:sz w:val="22"/>
                <w:szCs w:val="22"/>
              </w:rPr>
              <w:t xml:space="preserve"> </w:t>
            </w:r>
            <w:proofErr w:type="spellStart"/>
            <w:r w:rsidRPr="004E27C4">
              <w:rPr>
                <w:rFonts w:cstheme="minorHAnsi"/>
                <w:color w:val="000000" w:themeColor="text1"/>
                <w:sz w:val="22"/>
                <w:szCs w:val="22"/>
              </w:rPr>
              <w:t>raising</w:t>
            </w:r>
            <w:proofErr w:type="spellEnd"/>
          </w:p>
        </w:tc>
      </w:tr>
      <w:tr w:rsidR="00411DA8" w:rsidRPr="00E71822" w14:paraId="674F7D9B" w14:textId="77777777" w:rsidTr="004E27C4">
        <w:trPr>
          <w:jc w:val="center"/>
        </w:trPr>
        <w:tc>
          <w:tcPr>
            <w:tcW w:w="783" w:type="pct"/>
            <w:shd w:val="clear" w:color="auto" w:fill="FFFFFF" w:themeFill="background1"/>
            <w:tcMar>
              <w:top w:w="0" w:type="dxa"/>
              <w:left w:w="108" w:type="dxa"/>
              <w:bottom w:w="0" w:type="dxa"/>
              <w:right w:w="108" w:type="dxa"/>
            </w:tcMar>
            <w:vAlign w:val="center"/>
          </w:tcPr>
          <w:p w14:paraId="2D11D2D0" w14:textId="233E4C9D" w:rsidR="00411DA8" w:rsidRPr="004E27C4" w:rsidRDefault="004E27C4" w:rsidP="00D7505D">
            <w:pPr>
              <w:jc w:val="both"/>
              <w:rPr>
                <w:rFonts w:cstheme="minorHAnsi"/>
                <w:color w:val="000000" w:themeColor="text1"/>
                <w:sz w:val="22"/>
                <w:szCs w:val="22"/>
              </w:rPr>
            </w:pPr>
            <w:r w:rsidRPr="004E27C4">
              <w:rPr>
                <w:rFonts w:cstheme="minorHAnsi"/>
                <w:color w:val="000000" w:themeColor="text1"/>
                <w:sz w:val="22"/>
                <w:szCs w:val="22"/>
              </w:rPr>
              <w:t>Gobierno del Estado</w:t>
            </w:r>
          </w:p>
        </w:tc>
        <w:tc>
          <w:tcPr>
            <w:tcW w:w="1676" w:type="pct"/>
            <w:shd w:val="clear" w:color="auto" w:fill="FFFFFF" w:themeFill="background1"/>
            <w:tcMar>
              <w:top w:w="0" w:type="dxa"/>
              <w:left w:w="108" w:type="dxa"/>
              <w:bottom w:w="0" w:type="dxa"/>
              <w:right w:w="108" w:type="dxa"/>
            </w:tcMar>
            <w:vAlign w:val="center"/>
          </w:tcPr>
          <w:p w14:paraId="1FD13EEB" w14:textId="77777777" w:rsidR="00411DA8" w:rsidRPr="004E27C4" w:rsidRDefault="00411DA8" w:rsidP="00D7505D">
            <w:pPr>
              <w:jc w:val="both"/>
              <w:rPr>
                <w:rFonts w:cstheme="minorHAnsi"/>
                <w:color w:val="000000" w:themeColor="text1"/>
                <w:sz w:val="22"/>
                <w:szCs w:val="22"/>
              </w:rPr>
            </w:pPr>
            <w:r w:rsidRPr="004E27C4">
              <w:rPr>
                <w:rFonts w:cstheme="minorHAnsi"/>
                <w:color w:val="000000" w:themeColor="text1"/>
                <w:sz w:val="22"/>
                <w:szCs w:val="22"/>
              </w:rPr>
              <w:t>FIPRODEFO</w:t>
            </w:r>
          </w:p>
        </w:tc>
        <w:tc>
          <w:tcPr>
            <w:tcW w:w="751" w:type="pct"/>
            <w:shd w:val="clear" w:color="auto" w:fill="FFFFFF" w:themeFill="background1"/>
            <w:tcMar>
              <w:top w:w="0" w:type="dxa"/>
              <w:left w:w="108" w:type="dxa"/>
              <w:bottom w:w="0" w:type="dxa"/>
              <w:right w:w="108" w:type="dxa"/>
            </w:tcMar>
            <w:vAlign w:val="center"/>
          </w:tcPr>
          <w:p w14:paraId="3967908B" w14:textId="77777777" w:rsidR="00411DA8" w:rsidRPr="004E27C4" w:rsidRDefault="00411DA8" w:rsidP="00D7505D">
            <w:pPr>
              <w:jc w:val="both"/>
              <w:rPr>
                <w:rFonts w:cstheme="minorHAnsi"/>
                <w:color w:val="000000" w:themeColor="text1"/>
                <w:sz w:val="22"/>
                <w:szCs w:val="22"/>
              </w:rPr>
            </w:pPr>
            <w:r w:rsidRPr="004E27C4">
              <w:rPr>
                <w:rFonts w:cstheme="minorHAnsi"/>
                <w:color w:val="000000" w:themeColor="text1"/>
                <w:sz w:val="22"/>
                <w:szCs w:val="22"/>
              </w:rPr>
              <w:t>Jalisco</w:t>
            </w:r>
          </w:p>
        </w:tc>
        <w:tc>
          <w:tcPr>
            <w:tcW w:w="1790" w:type="pct"/>
            <w:shd w:val="clear" w:color="auto" w:fill="FFFFFF" w:themeFill="background1"/>
            <w:tcMar>
              <w:top w:w="0" w:type="dxa"/>
              <w:left w:w="108" w:type="dxa"/>
              <w:bottom w:w="0" w:type="dxa"/>
              <w:right w:w="108" w:type="dxa"/>
            </w:tcMar>
            <w:vAlign w:val="center"/>
          </w:tcPr>
          <w:p w14:paraId="5520EFCC" w14:textId="77777777" w:rsidR="00411DA8" w:rsidRPr="00E71822" w:rsidRDefault="00411DA8" w:rsidP="00D7505D">
            <w:pPr>
              <w:jc w:val="both"/>
              <w:rPr>
                <w:rFonts w:cstheme="minorHAnsi"/>
                <w:color w:val="000000" w:themeColor="text1"/>
                <w:sz w:val="22"/>
                <w:szCs w:val="22"/>
                <w:lang w:val="en-US"/>
              </w:rPr>
            </w:pPr>
            <w:r w:rsidRPr="00E71822">
              <w:rPr>
                <w:rFonts w:cstheme="minorHAnsi"/>
                <w:color w:val="000000" w:themeColor="text1"/>
                <w:sz w:val="22"/>
                <w:szCs w:val="22"/>
                <w:lang w:val="en-US"/>
              </w:rPr>
              <w:t>Forest and agroforestry sector development</w:t>
            </w:r>
          </w:p>
          <w:p w14:paraId="6B9C5400" w14:textId="77777777" w:rsidR="00411DA8" w:rsidRPr="00E71822" w:rsidRDefault="00411DA8" w:rsidP="00D7505D">
            <w:pPr>
              <w:jc w:val="both"/>
              <w:rPr>
                <w:rFonts w:cstheme="minorHAnsi"/>
                <w:i/>
                <w:color w:val="000000" w:themeColor="text1"/>
                <w:sz w:val="22"/>
                <w:szCs w:val="22"/>
                <w:lang w:val="en-US"/>
              </w:rPr>
            </w:pPr>
            <w:r w:rsidRPr="00E71822">
              <w:rPr>
                <w:rFonts w:cstheme="minorHAnsi"/>
                <w:i/>
                <w:color w:val="000000" w:themeColor="text1"/>
                <w:sz w:val="22"/>
                <w:szCs w:val="22"/>
                <w:lang w:val="en-US"/>
              </w:rPr>
              <w:t>Includes climate-smart practices</w:t>
            </w:r>
          </w:p>
        </w:tc>
      </w:tr>
      <w:tr w:rsidR="00411DA8" w:rsidRPr="004E27C4" w14:paraId="66783731" w14:textId="77777777" w:rsidTr="00D7505D">
        <w:trPr>
          <w:jc w:val="center"/>
        </w:trPr>
        <w:tc>
          <w:tcPr>
            <w:tcW w:w="5000" w:type="pct"/>
            <w:gridSpan w:val="4"/>
            <w:shd w:val="clear" w:color="auto" w:fill="F2F2F2" w:themeFill="background1" w:themeFillShade="F2"/>
            <w:tcMar>
              <w:top w:w="0" w:type="dxa"/>
              <w:left w:w="108" w:type="dxa"/>
              <w:bottom w:w="0" w:type="dxa"/>
              <w:right w:w="108" w:type="dxa"/>
            </w:tcMar>
            <w:vAlign w:val="center"/>
          </w:tcPr>
          <w:p w14:paraId="6F929C04" w14:textId="77777777" w:rsidR="00411DA8" w:rsidRPr="004E27C4" w:rsidRDefault="00411DA8" w:rsidP="00D7505D">
            <w:pPr>
              <w:jc w:val="center"/>
              <w:rPr>
                <w:rFonts w:cstheme="minorHAnsi"/>
                <w:b/>
                <w:bCs/>
                <w:color w:val="000000" w:themeColor="text1"/>
                <w:sz w:val="22"/>
                <w:szCs w:val="22"/>
              </w:rPr>
            </w:pPr>
            <w:r w:rsidRPr="004E27C4">
              <w:rPr>
                <w:rFonts w:cstheme="minorHAnsi"/>
                <w:b/>
                <w:bCs/>
                <w:color w:val="000000" w:themeColor="text1"/>
                <w:sz w:val="22"/>
                <w:szCs w:val="22"/>
              </w:rPr>
              <w:t>Jamapa</w:t>
            </w:r>
          </w:p>
        </w:tc>
      </w:tr>
      <w:tr w:rsidR="004E27C4" w:rsidRPr="00E71822" w14:paraId="06350F56" w14:textId="77777777" w:rsidTr="004E27C4">
        <w:trPr>
          <w:jc w:val="center"/>
        </w:trPr>
        <w:tc>
          <w:tcPr>
            <w:tcW w:w="783" w:type="pct"/>
            <w:shd w:val="clear" w:color="auto" w:fill="FFFFFF" w:themeFill="background1"/>
            <w:tcMar>
              <w:top w:w="0" w:type="dxa"/>
              <w:left w:w="108" w:type="dxa"/>
              <w:bottom w:w="0" w:type="dxa"/>
              <w:right w:w="108" w:type="dxa"/>
            </w:tcMar>
          </w:tcPr>
          <w:p w14:paraId="2CEA48D0" w14:textId="6828C1AC"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Financieras</w:t>
            </w:r>
          </w:p>
        </w:tc>
        <w:tc>
          <w:tcPr>
            <w:tcW w:w="1676" w:type="pct"/>
            <w:shd w:val="clear" w:color="auto" w:fill="FFFFFF" w:themeFill="background1"/>
            <w:tcMar>
              <w:top w:w="0" w:type="dxa"/>
              <w:left w:w="108" w:type="dxa"/>
              <w:bottom w:w="0" w:type="dxa"/>
              <w:right w:w="108" w:type="dxa"/>
            </w:tcMar>
            <w:vAlign w:val="center"/>
          </w:tcPr>
          <w:p w14:paraId="32F830A0"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Caja Popular de Ahorro Yanga, SC de AP de RL de CV</w:t>
            </w:r>
          </w:p>
        </w:tc>
        <w:tc>
          <w:tcPr>
            <w:tcW w:w="751" w:type="pct"/>
            <w:shd w:val="clear" w:color="auto" w:fill="FFFFFF" w:themeFill="background1"/>
            <w:tcMar>
              <w:top w:w="0" w:type="dxa"/>
              <w:left w:w="108" w:type="dxa"/>
              <w:bottom w:w="0" w:type="dxa"/>
              <w:right w:w="108" w:type="dxa"/>
            </w:tcMar>
            <w:vAlign w:val="center"/>
          </w:tcPr>
          <w:p w14:paraId="766E3487"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Regional</w:t>
            </w:r>
          </w:p>
        </w:tc>
        <w:tc>
          <w:tcPr>
            <w:tcW w:w="1790" w:type="pct"/>
            <w:shd w:val="clear" w:color="auto" w:fill="FFFFFF" w:themeFill="background1"/>
            <w:tcMar>
              <w:top w:w="0" w:type="dxa"/>
              <w:left w:w="108" w:type="dxa"/>
              <w:bottom w:w="0" w:type="dxa"/>
              <w:right w:w="108" w:type="dxa"/>
            </w:tcMar>
            <w:vAlign w:val="center"/>
          </w:tcPr>
          <w:p w14:paraId="7CE2070A" w14:textId="77777777" w:rsidR="004E27C4" w:rsidRPr="00E71822" w:rsidRDefault="004E27C4" w:rsidP="004E27C4">
            <w:pPr>
              <w:jc w:val="both"/>
              <w:rPr>
                <w:rFonts w:cstheme="minorHAnsi"/>
                <w:color w:val="000000" w:themeColor="text1"/>
                <w:sz w:val="22"/>
                <w:szCs w:val="22"/>
                <w:lang w:val="en-US"/>
              </w:rPr>
            </w:pPr>
            <w:r w:rsidRPr="00E71822">
              <w:rPr>
                <w:rFonts w:cstheme="minorHAnsi"/>
                <w:color w:val="000000" w:themeColor="text1"/>
                <w:sz w:val="22"/>
                <w:szCs w:val="22"/>
                <w:lang w:val="en-US"/>
              </w:rPr>
              <w:t>Credits for financing agricultural projects</w:t>
            </w:r>
          </w:p>
        </w:tc>
      </w:tr>
      <w:tr w:rsidR="004E27C4" w:rsidRPr="00E71822" w14:paraId="1886AD36" w14:textId="77777777" w:rsidTr="004E27C4">
        <w:trPr>
          <w:jc w:val="center"/>
        </w:trPr>
        <w:tc>
          <w:tcPr>
            <w:tcW w:w="783" w:type="pct"/>
            <w:shd w:val="clear" w:color="auto" w:fill="FFFFFF" w:themeFill="background1"/>
            <w:tcMar>
              <w:top w:w="0" w:type="dxa"/>
              <w:left w:w="108" w:type="dxa"/>
              <w:bottom w:w="0" w:type="dxa"/>
              <w:right w:w="108" w:type="dxa"/>
            </w:tcMar>
          </w:tcPr>
          <w:p w14:paraId="3C99FDBB" w14:textId="12DF197F"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Financieras</w:t>
            </w:r>
          </w:p>
        </w:tc>
        <w:tc>
          <w:tcPr>
            <w:tcW w:w="1676" w:type="pct"/>
            <w:shd w:val="clear" w:color="auto" w:fill="FFFFFF" w:themeFill="background1"/>
            <w:tcMar>
              <w:top w:w="0" w:type="dxa"/>
              <w:left w:w="108" w:type="dxa"/>
              <w:bottom w:w="0" w:type="dxa"/>
              <w:right w:w="108" w:type="dxa"/>
            </w:tcMar>
            <w:vAlign w:val="center"/>
          </w:tcPr>
          <w:p w14:paraId="7AA7BE34" w14:textId="77777777" w:rsidR="004E27C4" w:rsidRPr="004E27C4" w:rsidRDefault="004E27C4" w:rsidP="004E27C4">
            <w:pPr>
              <w:jc w:val="both"/>
              <w:rPr>
                <w:rFonts w:eastAsia="MS Mincho" w:cstheme="minorHAnsi"/>
                <w:color w:val="000000" w:themeColor="text1"/>
                <w:sz w:val="22"/>
                <w:szCs w:val="22"/>
                <w:lang w:eastAsia="en-GB"/>
              </w:rPr>
            </w:pPr>
            <w:r w:rsidRPr="004E27C4">
              <w:rPr>
                <w:rFonts w:eastAsia="MS Mincho" w:cstheme="minorHAnsi"/>
                <w:color w:val="000000" w:themeColor="text1"/>
                <w:sz w:val="22"/>
                <w:szCs w:val="22"/>
                <w:lang w:eastAsia="en-GB"/>
              </w:rPr>
              <w:t>Caja Zongolica, SC de AP de RL de CV</w:t>
            </w:r>
          </w:p>
          <w:p w14:paraId="1038D7D7"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 </w:t>
            </w:r>
          </w:p>
        </w:tc>
        <w:tc>
          <w:tcPr>
            <w:tcW w:w="751" w:type="pct"/>
            <w:shd w:val="clear" w:color="auto" w:fill="FFFFFF" w:themeFill="background1"/>
            <w:tcMar>
              <w:top w:w="0" w:type="dxa"/>
              <w:left w:w="108" w:type="dxa"/>
              <w:bottom w:w="0" w:type="dxa"/>
              <w:right w:w="108" w:type="dxa"/>
            </w:tcMar>
            <w:vAlign w:val="center"/>
          </w:tcPr>
          <w:p w14:paraId="6FBD0BD3"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Regional</w:t>
            </w:r>
          </w:p>
        </w:tc>
        <w:tc>
          <w:tcPr>
            <w:tcW w:w="1790" w:type="pct"/>
            <w:shd w:val="clear" w:color="auto" w:fill="FFFFFF" w:themeFill="background1"/>
            <w:tcMar>
              <w:top w:w="0" w:type="dxa"/>
              <w:left w:w="108" w:type="dxa"/>
              <w:bottom w:w="0" w:type="dxa"/>
              <w:right w:w="108" w:type="dxa"/>
            </w:tcMar>
            <w:vAlign w:val="center"/>
          </w:tcPr>
          <w:p w14:paraId="427B8AC0" w14:textId="77777777" w:rsidR="004E27C4" w:rsidRPr="00E71822" w:rsidRDefault="004E27C4" w:rsidP="004E27C4">
            <w:pPr>
              <w:jc w:val="both"/>
              <w:rPr>
                <w:rFonts w:cstheme="minorHAnsi"/>
                <w:color w:val="000000" w:themeColor="text1"/>
                <w:sz w:val="22"/>
                <w:szCs w:val="22"/>
                <w:lang w:val="en-US"/>
              </w:rPr>
            </w:pPr>
            <w:r w:rsidRPr="00E71822">
              <w:rPr>
                <w:rFonts w:cstheme="minorHAnsi"/>
                <w:color w:val="000000" w:themeColor="text1"/>
                <w:sz w:val="22"/>
                <w:szCs w:val="22"/>
                <w:lang w:val="en-US"/>
              </w:rPr>
              <w:t>Credits for financing agricultural projects</w:t>
            </w:r>
          </w:p>
        </w:tc>
      </w:tr>
      <w:tr w:rsidR="004E27C4" w:rsidRPr="00E71822" w14:paraId="6E1E727C" w14:textId="77777777" w:rsidTr="004E27C4">
        <w:trPr>
          <w:jc w:val="center"/>
        </w:trPr>
        <w:tc>
          <w:tcPr>
            <w:tcW w:w="783" w:type="pct"/>
            <w:shd w:val="clear" w:color="auto" w:fill="FFFFFF" w:themeFill="background1"/>
            <w:tcMar>
              <w:top w:w="0" w:type="dxa"/>
              <w:left w:w="108" w:type="dxa"/>
              <w:bottom w:w="0" w:type="dxa"/>
              <w:right w:w="108" w:type="dxa"/>
            </w:tcMar>
          </w:tcPr>
          <w:p w14:paraId="4C67852C" w14:textId="5C76C164"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Financieras</w:t>
            </w:r>
          </w:p>
        </w:tc>
        <w:tc>
          <w:tcPr>
            <w:tcW w:w="1676" w:type="pct"/>
            <w:shd w:val="clear" w:color="auto" w:fill="FFFFFF" w:themeFill="background1"/>
            <w:tcMar>
              <w:top w:w="0" w:type="dxa"/>
              <w:left w:w="108" w:type="dxa"/>
              <w:bottom w:w="0" w:type="dxa"/>
              <w:right w:w="108" w:type="dxa"/>
            </w:tcMar>
            <w:vAlign w:val="center"/>
          </w:tcPr>
          <w:p w14:paraId="3A6CC466"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Caja Popular Mexicana, SC de AP de RL de CV</w:t>
            </w:r>
          </w:p>
        </w:tc>
        <w:tc>
          <w:tcPr>
            <w:tcW w:w="751" w:type="pct"/>
            <w:shd w:val="clear" w:color="auto" w:fill="FFFFFF" w:themeFill="background1"/>
            <w:tcMar>
              <w:top w:w="0" w:type="dxa"/>
              <w:left w:w="108" w:type="dxa"/>
              <w:bottom w:w="0" w:type="dxa"/>
              <w:right w:w="108" w:type="dxa"/>
            </w:tcMar>
            <w:vAlign w:val="center"/>
          </w:tcPr>
          <w:p w14:paraId="79B75E9C"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Regional</w:t>
            </w:r>
          </w:p>
        </w:tc>
        <w:tc>
          <w:tcPr>
            <w:tcW w:w="1790" w:type="pct"/>
            <w:shd w:val="clear" w:color="auto" w:fill="FFFFFF" w:themeFill="background1"/>
            <w:tcMar>
              <w:top w:w="0" w:type="dxa"/>
              <w:left w:w="108" w:type="dxa"/>
              <w:bottom w:w="0" w:type="dxa"/>
              <w:right w:w="108" w:type="dxa"/>
            </w:tcMar>
            <w:vAlign w:val="center"/>
          </w:tcPr>
          <w:p w14:paraId="0AB5738C" w14:textId="77777777" w:rsidR="004E27C4" w:rsidRPr="00E71822" w:rsidRDefault="004E27C4" w:rsidP="004E27C4">
            <w:pPr>
              <w:jc w:val="both"/>
              <w:rPr>
                <w:rFonts w:cstheme="minorHAnsi"/>
                <w:color w:val="000000" w:themeColor="text1"/>
                <w:sz w:val="22"/>
                <w:szCs w:val="22"/>
                <w:lang w:val="en-US"/>
              </w:rPr>
            </w:pPr>
            <w:r w:rsidRPr="00E71822">
              <w:rPr>
                <w:rFonts w:cstheme="minorHAnsi"/>
                <w:color w:val="000000" w:themeColor="text1"/>
                <w:sz w:val="22"/>
                <w:szCs w:val="22"/>
                <w:lang w:val="en-US"/>
              </w:rPr>
              <w:t>Credits for financing agricultural projects</w:t>
            </w:r>
          </w:p>
        </w:tc>
      </w:tr>
      <w:tr w:rsidR="004E27C4" w:rsidRPr="004E27C4" w14:paraId="64BBD7C6" w14:textId="77777777" w:rsidTr="004E27C4">
        <w:trPr>
          <w:jc w:val="center"/>
        </w:trPr>
        <w:tc>
          <w:tcPr>
            <w:tcW w:w="783" w:type="pct"/>
            <w:shd w:val="clear" w:color="auto" w:fill="FFFFFF" w:themeFill="background1"/>
            <w:tcMar>
              <w:top w:w="0" w:type="dxa"/>
              <w:left w:w="108" w:type="dxa"/>
              <w:bottom w:w="0" w:type="dxa"/>
              <w:right w:w="108" w:type="dxa"/>
            </w:tcMar>
          </w:tcPr>
          <w:p w14:paraId="211AFAD5" w14:textId="5C97344E"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Financieras</w:t>
            </w:r>
          </w:p>
        </w:tc>
        <w:tc>
          <w:tcPr>
            <w:tcW w:w="1676" w:type="pct"/>
            <w:shd w:val="clear" w:color="auto" w:fill="FFFFFF" w:themeFill="background1"/>
            <w:tcMar>
              <w:top w:w="0" w:type="dxa"/>
              <w:left w:w="108" w:type="dxa"/>
              <w:bottom w:w="0" w:type="dxa"/>
              <w:right w:w="108" w:type="dxa"/>
            </w:tcMar>
            <w:vAlign w:val="center"/>
          </w:tcPr>
          <w:p w14:paraId="2315738E" w14:textId="77777777" w:rsidR="004E27C4" w:rsidRPr="004E27C4" w:rsidRDefault="004E27C4" w:rsidP="004E27C4">
            <w:pPr>
              <w:jc w:val="both"/>
              <w:rPr>
                <w:rFonts w:eastAsia="MS Mincho" w:cstheme="minorHAnsi"/>
                <w:color w:val="000000" w:themeColor="text1"/>
                <w:sz w:val="22"/>
                <w:szCs w:val="22"/>
                <w:lang w:eastAsia="en-GB"/>
              </w:rPr>
            </w:pPr>
            <w:proofErr w:type="spellStart"/>
            <w:r w:rsidRPr="004E27C4">
              <w:rPr>
                <w:rFonts w:eastAsia="MS Mincho" w:cstheme="minorHAnsi"/>
                <w:color w:val="000000" w:themeColor="text1"/>
                <w:sz w:val="22"/>
                <w:szCs w:val="22"/>
                <w:lang w:eastAsia="en-GB"/>
              </w:rPr>
              <w:t>Financing</w:t>
            </w:r>
            <w:proofErr w:type="spellEnd"/>
            <w:r w:rsidRPr="004E27C4">
              <w:rPr>
                <w:rFonts w:eastAsia="MS Mincho" w:cstheme="minorHAnsi"/>
                <w:color w:val="000000" w:themeColor="text1"/>
                <w:sz w:val="22"/>
                <w:szCs w:val="22"/>
                <w:lang w:eastAsia="en-GB"/>
              </w:rPr>
              <w:t xml:space="preserve"> </w:t>
            </w:r>
            <w:proofErr w:type="spellStart"/>
            <w:r w:rsidRPr="004E27C4">
              <w:rPr>
                <w:rFonts w:eastAsia="MS Mincho" w:cstheme="minorHAnsi"/>
                <w:color w:val="000000" w:themeColor="text1"/>
                <w:sz w:val="22"/>
                <w:szCs w:val="22"/>
                <w:lang w:eastAsia="en-GB"/>
              </w:rPr>
              <w:t>to</w:t>
            </w:r>
            <w:proofErr w:type="spellEnd"/>
            <w:r w:rsidRPr="004E27C4">
              <w:rPr>
                <w:rFonts w:eastAsia="MS Mincho" w:cstheme="minorHAnsi"/>
                <w:color w:val="000000" w:themeColor="text1"/>
                <w:sz w:val="22"/>
                <w:szCs w:val="22"/>
                <w:lang w:eastAsia="en-GB"/>
              </w:rPr>
              <w:t xml:space="preserve"> Campo Veracruzano SA de CV (FINCAVER)</w:t>
            </w:r>
          </w:p>
          <w:p w14:paraId="08FECE94"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 </w:t>
            </w:r>
          </w:p>
        </w:tc>
        <w:tc>
          <w:tcPr>
            <w:tcW w:w="751" w:type="pct"/>
            <w:shd w:val="clear" w:color="auto" w:fill="FFFFFF" w:themeFill="background1"/>
            <w:tcMar>
              <w:top w:w="0" w:type="dxa"/>
              <w:left w:w="108" w:type="dxa"/>
              <w:bottom w:w="0" w:type="dxa"/>
              <w:right w:w="108" w:type="dxa"/>
            </w:tcMar>
            <w:vAlign w:val="center"/>
          </w:tcPr>
          <w:p w14:paraId="3247BBE3"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Regional</w:t>
            </w:r>
          </w:p>
        </w:tc>
        <w:tc>
          <w:tcPr>
            <w:tcW w:w="1790" w:type="pct"/>
            <w:shd w:val="clear" w:color="auto" w:fill="FFFFFF" w:themeFill="background1"/>
            <w:tcMar>
              <w:top w:w="0" w:type="dxa"/>
              <w:left w:w="108" w:type="dxa"/>
              <w:bottom w:w="0" w:type="dxa"/>
              <w:right w:w="108" w:type="dxa"/>
            </w:tcMar>
            <w:vAlign w:val="center"/>
          </w:tcPr>
          <w:p w14:paraId="04FFCF2E" w14:textId="77777777" w:rsidR="004E27C4" w:rsidRPr="004E27C4" w:rsidRDefault="004E27C4" w:rsidP="004E27C4">
            <w:pPr>
              <w:jc w:val="both"/>
              <w:rPr>
                <w:rFonts w:cstheme="minorHAnsi"/>
                <w:color w:val="000000" w:themeColor="text1"/>
                <w:sz w:val="22"/>
                <w:szCs w:val="22"/>
              </w:rPr>
            </w:pPr>
            <w:proofErr w:type="spellStart"/>
            <w:r w:rsidRPr="004E27C4">
              <w:rPr>
                <w:rFonts w:cstheme="minorHAnsi"/>
                <w:color w:val="000000" w:themeColor="text1"/>
                <w:sz w:val="22"/>
                <w:szCs w:val="22"/>
              </w:rPr>
              <w:t>Coffee</w:t>
            </w:r>
            <w:proofErr w:type="spellEnd"/>
          </w:p>
        </w:tc>
      </w:tr>
      <w:tr w:rsidR="004E27C4" w:rsidRPr="004E27C4" w14:paraId="562A38B9" w14:textId="77777777" w:rsidTr="004E27C4">
        <w:trPr>
          <w:jc w:val="center"/>
        </w:trPr>
        <w:tc>
          <w:tcPr>
            <w:tcW w:w="783" w:type="pct"/>
            <w:shd w:val="clear" w:color="auto" w:fill="FFFFFF" w:themeFill="background1"/>
            <w:tcMar>
              <w:top w:w="0" w:type="dxa"/>
              <w:left w:w="108" w:type="dxa"/>
              <w:bottom w:w="0" w:type="dxa"/>
              <w:right w:w="108" w:type="dxa"/>
            </w:tcMar>
          </w:tcPr>
          <w:p w14:paraId="1551AC63" w14:textId="3BC2D5E9"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Financieras</w:t>
            </w:r>
          </w:p>
        </w:tc>
        <w:tc>
          <w:tcPr>
            <w:tcW w:w="1676" w:type="pct"/>
            <w:shd w:val="clear" w:color="auto" w:fill="FFFFFF" w:themeFill="background1"/>
            <w:tcMar>
              <w:top w:w="0" w:type="dxa"/>
              <w:left w:w="108" w:type="dxa"/>
              <w:bottom w:w="0" w:type="dxa"/>
              <w:right w:w="108" w:type="dxa"/>
            </w:tcMar>
            <w:vAlign w:val="center"/>
          </w:tcPr>
          <w:p w14:paraId="794F0331" w14:textId="77777777" w:rsidR="004E27C4" w:rsidRPr="00E71822" w:rsidRDefault="004E27C4" w:rsidP="004E27C4">
            <w:pPr>
              <w:jc w:val="both"/>
              <w:rPr>
                <w:rFonts w:cstheme="minorHAnsi"/>
                <w:color w:val="000000" w:themeColor="text1"/>
                <w:sz w:val="22"/>
                <w:szCs w:val="22"/>
                <w:lang w:val="en-US"/>
              </w:rPr>
            </w:pPr>
            <w:r w:rsidRPr="00E71822">
              <w:rPr>
                <w:rFonts w:cstheme="minorHAnsi"/>
                <w:color w:val="000000" w:themeColor="text1"/>
                <w:sz w:val="22"/>
                <w:szCs w:val="22"/>
                <w:lang w:val="en-US"/>
              </w:rPr>
              <w:t>Livestock Union of the Central Region of Veracruz</w:t>
            </w:r>
          </w:p>
        </w:tc>
        <w:tc>
          <w:tcPr>
            <w:tcW w:w="751" w:type="pct"/>
            <w:shd w:val="clear" w:color="auto" w:fill="FFFFFF" w:themeFill="background1"/>
            <w:tcMar>
              <w:top w:w="0" w:type="dxa"/>
              <w:left w:w="108" w:type="dxa"/>
              <w:bottom w:w="0" w:type="dxa"/>
              <w:right w:w="108" w:type="dxa"/>
            </w:tcMar>
            <w:vAlign w:val="center"/>
          </w:tcPr>
          <w:p w14:paraId="673A559A" w14:textId="77777777" w:rsidR="004E27C4" w:rsidRPr="004E27C4" w:rsidRDefault="004E27C4" w:rsidP="004E27C4">
            <w:pPr>
              <w:jc w:val="both"/>
              <w:rPr>
                <w:rFonts w:cstheme="minorHAnsi"/>
                <w:color w:val="000000" w:themeColor="text1"/>
                <w:sz w:val="22"/>
                <w:szCs w:val="22"/>
              </w:rPr>
            </w:pPr>
            <w:r w:rsidRPr="004E27C4">
              <w:rPr>
                <w:rFonts w:cstheme="minorHAnsi"/>
                <w:color w:val="000000" w:themeColor="text1"/>
                <w:sz w:val="22"/>
                <w:szCs w:val="22"/>
              </w:rPr>
              <w:t>Regional</w:t>
            </w:r>
          </w:p>
        </w:tc>
        <w:tc>
          <w:tcPr>
            <w:tcW w:w="1790" w:type="pct"/>
            <w:shd w:val="clear" w:color="auto" w:fill="FFFFFF" w:themeFill="background1"/>
            <w:tcMar>
              <w:top w:w="0" w:type="dxa"/>
              <w:left w:w="108" w:type="dxa"/>
              <w:bottom w:w="0" w:type="dxa"/>
              <w:right w:w="108" w:type="dxa"/>
            </w:tcMar>
            <w:vAlign w:val="center"/>
          </w:tcPr>
          <w:p w14:paraId="43F2D6E0" w14:textId="77777777" w:rsidR="004E27C4" w:rsidRPr="004E27C4" w:rsidRDefault="004E27C4" w:rsidP="004E27C4">
            <w:pPr>
              <w:jc w:val="both"/>
              <w:rPr>
                <w:rFonts w:cstheme="minorHAnsi"/>
                <w:color w:val="000000" w:themeColor="text1"/>
                <w:sz w:val="22"/>
                <w:szCs w:val="22"/>
              </w:rPr>
            </w:pPr>
            <w:proofErr w:type="spellStart"/>
            <w:r w:rsidRPr="004E27C4">
              <w:rPr>
                <w:rFonts w:cstheme="minorHAnsi"/>
                <w:color w:val="000000" w:themeColor="text1"/>
                <w:sz w:val="22"/>
                <w:szCs w:val="22"/>
              </w:rPr>
              <w:t>Cattle</w:t>
            </w:r>
            <w:proofErr w:type="spellEnd"/>
            <w:r w:rsidRPr="004E27C4">
              <w:rPr>
                <w:rFonts w:cstheme="minorHAnsi"/>
                <w:color w:val="000000" w:themeColor="text1"/>
                <w:sz w:val="22"/>
                <w:szCs w:val="22"/>
              </w:rPr>
              <w:t xml:space="preserve"> </w:t>
            </w:r>
            <w:proofErr w:type="spellStart"/>
            <w:r w:rsidRPr="004E27C4">
              <w:rPr>
                <w:rFonts w:cstheme="minorHAnsi"/>
                <w:color w:val="000000" w:themeColor="text1"/>
                <w:sz w:val="22"/>
                <w:szCs w:val="22"/>
              </w:rPr>
              <w:t>raising</w:t>
            </w:r>
            <w:proofErr w:type="spellEnd"/>
          </w:p>
        </w:tc>
      </w:tr>
      <w:tr w:rsidR="00411DA8" w:rsidRPr="004E27C4" w14:paraId="1DBA9A8F" w14:textId="77777777" w:rsidTr="004E27C4">
        <w:trPr>
          <w:jc w:val="center"/>
        </w:trPr>
        <w:tc>
          <w:tcPr>
            <w:tcW w:w="783" w:type="pct"/>
            <w:shd w:val="clear" w:color="auto" w:fill="FFFFFF" w:themeFill="background1"/>
            <w:tcMar>
              <w:top w:w="0" w:type="dxa"/>
              <w:left w:w="108" w:type="dxa"/>
              <w:bottom w:w="0" w:type="dxa"/>
              <w:right w:w="108" w:type="dxa"/>
            </w:tcMar>
          </w:tcPr>
          <w:p w14:paraId="2CCEF9E2" w14:textId="02789441" w:rsidR="00411DA8" w:rsidRPr="004E27C4" w:rsidRDefault="004E27C4" w:rsidP="00D7505D">
            <w:pPr>
              <w:jc w:val="both"/>
              <w:rPr>
                <w:rFonts w:cstheme="minorHAnsi"/>
                <w:color w:val="000000" w:themeColor="text1"/>
                <w:sz w:val="22"/>
                <w:szCs w:val="22"/>
              </w:rPr>
            </w:pPr>
            <w:r w:rsidRPr="004E27C4">
              <w:rPr>
                <w:rFonts w:cstheme="minorHAnsi"/>
                <w:color w:val="000000" w:themeColor="text1"/>
                <w:sz w:val="22"/>
                <w:szCs w:val="22"/>
              </w:rPr>
              <w:t>Organización sin fines de lucro</w:t>
            </w:r>
          </w:p>
        </w:tc>
        <w:tc>
          <w:tcPr>
            <w:tcW w:w="1676" w:type="pct"/>
            <w:shd w:val="clear" w:color="auto" w:fill="FFFFFF" w:themeFill="background1"/>
            <w:tcMar>
              <w:top w:w="0" w:type="dxa"/>
              <w:left w:w="108" w:type="dxa"/>
              <w:bottom w:w="0" w:type="dxa"/>
              <w:right w:w="108" w:type="dxa"/>
            </w:tcMar>
            <w:vAlign w:val="center"/>
          </w:tcPr>
          <w:p w14:paraId="1B55236D" w14:textId="77777777" w:rsidR="00411DA8" w:rsidRPr="004E27C4" w:rsidRDefault="00411DA8" w:rsidP="00D7505D">
            <w:pPr>
              <w:jc w:val="both"/>
              <w:rPr>
                <w:rFonts w:cstheme="minorHAnsi"/>
                <w:color w:val="000000" w:themeColor="text1"/>
                <w:sz w:val="22"/>
                <w:szCs w:val="22"/>
              </w:rPr>
            </w:pPr>
            <w:proofErr w:type="spellStart"/>
            <w:r w:rsidRPr="004E27C4">
              <w:rPr>
                <w:rFonts w:cstheme="minorHAnsi"/>
                <w:color w:val="000000" w:themeColor="text1"/>
                <w:sz w:val="22"/>
                <w:szCs w:val="22"/>
              </w:rPr>
              <w:t>Solidarity</w:t>
            </w:r>
            <w:proofErr w:type="spellEnd"/>
            <w:r w:rsidRPr="004E27C4">
              <w:rPr>
                <w:rFonts w:cstheme="minorHAnsi"/>
                <w:color w:val="000000" w:themeColor="text1"/>
                <w:sz w:val="22"/>
                <w:szCs w:val="22"/>
              </w:rPr>
              <w:t xml:space="preserve"> </w:t>
            </w:r>
            <w:proofErr w:type="spellStart"/>
            <w:r w:rsidRPr="004E27C4">
              <w:rPr>
                <w:rFonts w:cstheme="minorHAnsi"/>
                <w:color w:val="000000" w:themeColor="text1"/>
                <w:sz w:val="22"/>
                <w:szCs w:val="22"/>
              </w:rPr>
              <w:t>savings</w:t>
            </w:r>
            <w:proofErr w:type="spellEnd"/>
            <w:r w:rsidRPr="004E27C4">
              <w:rPr>
                <w:rFonts w:cstheme="minorHAnsi"/>
                <w:color w:val="000000" w:themeColor="text1"/>
                <w:sz w:val="22"/>
                <w:szCs w:val="22"/>
              </w:rPr>
              <w:t xml:space="preserve"> </w:t>
            </w:r>
            <w:proofErr w:type="spellStart"/>
            <w:r w:rsidRPr="004E27C4">
              <w:rPr>
                <w:rFonts w:cstheme="minorHAnsi"/>
                <w:color w:val="000000" w:themeColor="text1"/>
                <w:sz w:val="22"/>
                <w:szCs w:val="22"/>
              </w:rPr>
              <w:t>banks</w:t>
            </w:r>
            <w:proofErr w:type="spellEnd"/>
          </w:p>
        </w:tc>
        <w:tc>
          <w:tcPr>
            <w:tcW w:w="751" w:type="pct"/>
            <w:shd w:val="clear" w:color="auto" w:fill="FFFFFF" w:themeFill="background1"/>
            <w:tcMar>
              <w:top w:w="0" w:type="dxa"/>
              <w:left w:w="108" w:type="dxa"/>
              <w:bottom w:w="0" w:type="dxa"/>
              <w:right w:w="108" w:type="dxa"/>
            </w:tcMar>
            <w:vAlign w:val="center"/>
          </w:tcPr>
          <w:p w14:paraId="2C3CDBA6" w14:textId="77777777" w:rsidR="00411DA8" w:rsidRPr="004E27C4" w:rsidRDefault="00411DA8" w:rsidP="00D7505D">
            <w:pPr>
              <w:jc w:val="both"/>
              <w:rPr>
                <w:rFonts w:cstheme="minorHAnsi"/>
                <w:color w:val="000000" w:themeColor="text1"/>
                <w:sz w:val="22"/>
                <w:szCs w:val="22"/>
              </w:rPr>
            </w:pPr>
            <w:proofErr w:type="spellStart"/>
            <w:r w:rsidRPr="004E27C4">
              <w:rPr>
                <w:rFonts w:cstheme="minorHAnsi"/>
                <w:color w:val="000000" w:themeColor="text1"/>
                <w:sz w:val="22"/>
                <w:szCs w:val="22"/>
              </w:rPr>
              <w:t>Municipality</w:t>
            </w:r>
            <w:proofErr w:type="spellEnd"/>
            <w:r w:rsidRPr="004E27C4">
              <w:rPr>
                <w:rFonts w:cstheme="minorHAnsi"/>
                <w:color w:val="000000" w:themeColor="text1"/>
                <w:sz w:val="22"/>
                <w:szCs w:val="22"/>
              </w:rPr>
              <w:t xml:space="preserve"> </w:t>
            </w:r>
            <w:proofErr w:type="spellStart"/>
            <w:r w:rsidRPr="004E27C4">
              <w:rPr>
                <w:rFonts w:cstheme="minorHAnsi"/>
                <w:color w:val="000000" w:themeColor="text1"/>
                <w:sz w:val="22"/>
                <w:szCs w:val="22"/>
              </w:rPr>
              <w:t>of</w:t>
            </w:r>
            <w:proofErr w:type="spellEnd"/>
            <w:r w:rsidRPr="004E27C4">
              <w:rPr>
                <w:rFonts w:cstheme="minorHAnsi"/>
                <w:color w:val="000000" w:themeColor="text1"/>
                <w:sz w:val="22"/>
                <w:szCs w:val="22"/>
              </w:rPr>
              <w:t xml:space="preserve"> Ixhuatlán del Café</w:t>
            </w:r>
          </w:p>
        </w:tc>
        <w:tc>
          <w:tcPr>
            <w:tcW w:w="1790" w:type="pct"/>
            <w:shd w:val="clear" w:color="auto" w:fill="FFFFFF" w:themeFill="background1"/>
            <w:tcMar>
              <w:top w:w="0" w:type="dxa"/>
              <w:left w:w="108" w:type="dxa"/>
              <w:bottom w:w="0" w:type="dxa"/>
              <w:right w:w="108" w:type="dxa"/>
            </w:tcMar>
            <w:vAlign w:val="center"/>
          </w:tcPr>
          <w:p w14:paraId="35C33AFC" w14:textId="77777777" w:rsidR="00411DA8" w:rsidRPr="004E27C4" w:rsidRDefault="00411DA8" w:rsidP="00D7505D">
            <w:pPr>
              <w:jc w:val="both"/>
              <w:rPr>
                <w:rFonts w:cstheme="minorHAnsi"/>
                <w:color w:val="000000" w:themeColor="text1"/>
                <w:sz w:val="22"/>
                <w:szCs w:val="22"/>
              </w:rPr>
            </w:pPr>
            <w:proofErr w:type="spellStart"/>
            <w:r w:rsidRPr="004E27C4">
              <w:rPr>
                <w:rFonts w:cstheme="minorHAnsi"/>
                <w:color w:val="000000" w:themeColor="text1"/>
                <w:sz w:val="22"/>
                <w:szCs w:val="22"/>
              </w:rPr>
              <w:t>Support</w:t>
            </w:r>
            <w:proofErr w:type="spellEnd"/>
            <w:r w:rsidRPr="004E27C4">
              <w:rPr>
                <w:rFonts w:cstheme="minorHAnsi"/>
                <w:color w:val="000000" w:themeColor="text1"/>
                <w:sz w:val="22"/>
                <w:szCs w:val="22"/>
              </w:rPr>
              <w:t xml:space="preserve"> </w:t>
            </w:r>
            <w:proofErr w:type="spellStart"/>
            <w:r w:rsidRPr="004E27C4">
              <w:rPr>
                <w:rFonts w:cstheme="minorHAnsi"/>
                <w:color w:val="000000" w:themeColor="text1"/>
                <w:sz w:val="22"/>
                <w:szCs w:val="22"/>
              </w:rPr>
              <w:t>for</w:t>
            </w:r>
            <w:proofErr w:type="spellEnd"/>
            <w:r w:rsidRPr="004E27C4">
              <w:rPr>
                <w:rFonts w:cstheme="minorHAnsi"/>
                <w:color w:val="000000" w:themeColor="text1"/>
                <w:sz w:val="22"/>
                <w:szCs w:val="22"/>
              </w:rPr>
              <w:t xml:space="preserve"> </w:t>
            </w:r>
            <w:proofErr w:type="spellStart"/>
            <w:r w:rsidRPr="004E27C4">
              <w:rPr>
                <w:rFonts w:cstheme="minorHAnsi"/>
                <w:color w:val="000000" w:themeColor="text1"/>
                <w:sz w:val="22"/>
                <w:szCs w:val="22"/>
              </w:rPr>
              <w:t>household</w:t>
            </w:r>
            <w:proofErr w:type="spellEnd"/>
            <w:r w:rsidRPr="004E27C4">
              <w:rPr>
                <w:rFonts w:cstheme="minorHAnsi"/>
                <w:color w:val="000000" w:themeColor="text1"/>
                <w:sz w:val="22"/>
                <w:szCs w:val="22"/>
              </w:rPr>
              <w:t xml:space="preserve"> </w:t>
            </w:r>
            <w:proofErr w:type="spellStart"/>
            <w:r w:rsidRPr="004E27C4">
              <w:rPr>
                <w:rFonts w:cstheme="minorHAnsi"/>
                <w:color w:val="000000" w:themeColor="text1"/>
                <w:sz w:val="22"/>
                <w:szCs w:val="22"/>
              </w:rPr>
              <w:t>economy</w:t>
            </w:r>
            <w:proofErr w:type="spellEnd"/>
          </w:p>
        </w:tc>
      </w:tr>
    </w:tbl>
    <w:p w14:paraId="1AC81E98" w14:textId="23FB9311" w:rsidR="00411DA8" w:rsidRPr="004E27C4" w:rsidRDefault="004E27C4" w:rsidP="00411DA8">
      <w:pPr>
        <w:jc w:val="both"/>
        <w:rPr>
          <w:rFonts w:cstheme="minorHAnsi"/>
          <w:color w:val="000000" w:themeColor="text1"/>
          <w:sz w:val="22"/>
          <w:szCs w:val="22"/>
        </w:rPr>
      </w:pPr>
      <w:r w:rsidRPr="004E27C4">
        <w:rPr>
          <w:rFonts w:cstheme="minorHAnsi"/>
          <w:color w:val="000000" w:themeColor="text1"/>
          <w:sz w:val="22"/>
          <w:szCs w:val="22"/>
        </w:rPr>
        <w:t xml:space="preserve">Fuente: Elaboración propia con datos de </w:t>
      </w:r>
      <w:r w:rsidR="00411DA8" w:rsidRPr="004E27C4">
        <w:rPr>
          <w:rFonts w:cstheme="minorHAnsi"/>
          <w:color w:val="000000" w:themeColor="text1"/>
          <w:sz w:val="22"/>
          <w:szCs w:val="22"/>
        </w:rPr>
        <w:t xml:space="preserve">FGM and FONNOR. </w:t>
      </w:r>
    </w:p>
    <w:p w14:paraId="02534A46" w14:textId="77777777" w:rsidR="00411DA8" w:rsidRPr="004E27C4" w:rsidRDefault="00411DA8" w:rsidP="009D5C67">
      <w:pPr>
        <w:jc w:val="both"/>
        <w:rPr>
          <w:rFonts w:ascii="Calibri" w:eastAsia="Times New Roman" w:hAnsi="Calibri" w:cs="Calibri"/>
          <w:sz w:val="22"/>
          <w:szCs w:val="22"/>
          <w:lang w:eastAsia="es-MX"/>
        </w:rPr>
      </w:pPr>
    </w:p>
    <w:sectPr w:rsidR="00411DA8" w:rsidRPr="004E27C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254B98" w14:textId="77777777" w:rsidR="002B0B94" w:rsidRDefault="002B0B94" w:rsidP="00066969">
      <w:r>
        <w:separator/>
      </w:r>
    </w:p>
  </w:endnote>
  <w:endnote w:type="continuationSeparator" w:id="0">
    <w:p w14:paraId="4FBED174" w14:textId="77777777" w:rsidR="002B0B94" w:rsidRDefault="002B0B94" w:rsidP="00066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serrat">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2F106" w14:textId="77777777" w:rsidR="002B0B94" w:rsidRDefault="002B0B94" w:rsidP="00066969">
      <w:r>
        <w:separator/>
      </w:r>
    </w:p>
  </w:footnote>
  <w:footnote w:type="continuationSeparator" w:id="0">
    <w:p w14:paraId="10BA4618" w14:textId="77777777" w:rsidR="002B0B94" w:rsidRDefault="002B0B94" w:rsidP="00066969">
      <w:r>
        <w:continuationSeparator/>
      </w:r>
    </w:p>
  </w:footnote>
  <w:footnote w:id="1">
    <w:p w14:paraId="61C4234E" w14:textId="71958672" w:rsidR="00066969" w:rsidRPr="00066969" w:rsidRDefault="00066969">
      <w:pPr>
        <w:pStyle w:val="Textonotapie"/>
      </w:pPr>
      <w:r>
        <w:rPr>
          <w:rStyle w:val="Refdenotaalpie"/>
        </w:rPr>
        <w:footnoteRef/>
      </w:r>
      <w:r w:rsidRPr="00066969">
        <w:t xml:space="preserve"> El termino </w:t>
      </w:r>
      <w:r w:rsidRPr="00066969">
        <w:rPr>
          <w:i/>
        </w:rPr>
        <w:t>Organizaciones Locales Legalmente Constituidas</w:t>
      </w:r>
      <w:r w:rsidRPr="00066969">
        <w:t xml:space="preserve"> (</w:t>
      </w:r>
      <w:r w:rsidRPr="00066969">
        <w:rPr>
          <w:rFonts w:cs="Calibri"/>
        </w:rPr>
        <w:t xml:space="preserve">OLLC) es el mismo </w:t>
      </w:r>
      <w:r>
        <w:rPr>
          <w:rFonts w:cs="Calibri"/>
        </w:rPr>
        <w:t>que organizaciones de la sociedad civil (</w:t>
      </w:r>
      <w:r w:rsidRPr="00066969">
        <w:t xml:space="preserve">Civil </w:t>
      </w:r>
      <w:proofErr w:type="spellStart"/>
      <w:r w:rsidRPr="00066969">
        <w:t>Society</w:t>
      </w:r>
      <w:proofErr w:type="spellEnd"/>
      <w:r w:rsidRPr="00066969">
        <w:t xml:space="preserve"> </w:t>
      </w:r>
      <w:proofErr w:type="spellStart"/>
      <w:r w:rsidRPr="00066969">
        <w:t>Organization</w:t>
      </w:r>
      <w:proofErr w:type="spellEnd"/>
      <w:r>
        <w:t xml:space="preserve">, </w:t>
      </w:r>
      <w:r w:rsidRPr="00066969">
        <w:t xml:space="preserve">CSO) </w:t>
      </w:r>
      <w:r>
        <w:t>en el Manual de Operaciones.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714367"/>
    <w:multiLevelType w:val="hybridMultilevel"/>
    <w:tmpl w:val="531AA3B6"/>
    <w:lvl w:ilvl="0" w:tplc="265AC938">
      <w:start w:val="1"/>
      <w:numFmt w:val="upperLetter"/>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C67"/>
    <w:rsid w:val="00066969"/>
    <w:rsid w:val="00087A52"/>
    <w:rsid w:val="001865D3"/>
    <w:rsid w:val="001E19DD"/>
    <w:rsid w:val="002B0B94"/>
    <w:rsid w:val="00320EA7"/>
    <w:rsid w:val="00411DA8"/>
    <w:rsid w:val="004E27C4"/>
    <w:rsid w:val="006943E5"/>
    <w:rsid w:val="00711EF3"/>
    <w:rsid w:val="00730640"/>
    <w:rsid w:val="00750808"/>
    <w:rsid w:val="007C2B66"/>
    <w:rsid w:val="00864293"/>
    <w:rsid w:val="00891DC8"/>
    <w:rsid w:val="00973CFF"/>
    <w:rsid w:val="009D5C67"/>
    <w:rsid w:val="00A03EAD"/>
    <w:rsid w:val="00A447F3"/>
    <w:rsid w:val="00C2510A"/>
    <w:rsid w:val="00D4308D"/>
    <w:rsid w:val="00DF38CD"/>
    <w:rsid w:val="00E31128"/>
    <w:rsid w:val="00E71822"/>
    <w:rsid w:val="00F607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0BDD3"/>
  <w15:chartTrackingRefBased/>
  <w15:docId w15:val="{338189FA-498F-0845-8359-06B1548D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066969"/>
    <w:pPr>
      <w:keepNext/>
      <w:keepLines/>
      <w:spacing w:before="120" w:after="120"/>
      <w:outlineLvl w:val="1"/>
    </w:pPr>
    <w:rPr>
      <w:rFonts w:asciiTheme="majorHAnsi" w:eastAsiaTheme="majorEastAsia" w:hAnsiTheme="majorHAnsi" w:cstheme="majorBidi"/>
      <w:b/>
      <w:b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9D5C67"/>
    <w:rPr>
      <w:color w:val="0563C1"/>
      <w:u w:val="single"/>
    </w:rPr>
  </w:style>
  <w:style w:type="paragraph" w:styleId="Prrafodelista">
    <w:name w:val="List Paragraph"/>
    <w:aliases w:val="Akapit z listą BS,Bullet1,Bullets,Citation List,Ha,List Paragraph (numbered (a)),List Paragraph1,List_Paragraph,Liste 1,Main numbered paragraph,Multilevel para_II,NUMBERED PARAGRAPH,Numbered List Paragraph,NumberedParas,References"/>
    <w:basedOn w:val="Normal"/>
    <w:link w:val="PrrafodelistaCar"/>
    <w:uiPriority w:val="34"/>
    <w:qFormat/>
    <w:rsid w:val="00711EF3"/>
    <w:pPr>
      <w:spacing w:after="200" w:line="276" w:lineRule="auto"/>
      <w:ind w:left="720"/>
      <w:contextualSpacing/>
    </w:pPr>
    <w:rPr>
      <w:sz w:val="22"/>
      <w:szCs w:val="22"/>
    </w:rPr>
  </w:style>
  <w:style w:type="character" w:customStyle="1" w:styleId="PrrafodelistaCar">
    <w:name w:val="Párrafo de lista Car"/>
    <w:aliases w:val="Akapit z listą BS Car,Bullet1 Car,Bullets Car,Citation List Car,Ha Car,List Paragraph (numbered (a)) Car,List Paragraph1 Car,List_Paragraph Car,Liste 1 Car,Main numbered paragraph Car,Multilevel para_II Car,NUMBERED PARAGRAPH Car"/>
    <w:link w:val="Prrafodelista"/>
    <w:uiPriority w:val="34"/>
    <w:qFormat/>
    <w:locked/>
    <w:rsid w:val="00711EF3"/>
    <w:rPr>
      <w:sz w:val="22"/>
      <w:szCs w:val="22"/>
    </w:rPr>
  </w:style>
  <w:style w:type="character" w:styleId="Refdecomentario">
    <w:name w:val="annotation reference"/>
    <w:basedOn w:val="Fuentedeprrafopredeter"/>
    <w:uiPriority w:val="99"/>
    <w:semiHidden/>
    <w:unhideWhenUsed/>
    <w:rsid w:val="00711EF3"/>
    <w:rPr>
      <w:sz w:val="16"/>
      <w:szCs w:val="16"/>
    </w:rPr>
  </w:style>
  <w:style w:type="paragraph" w:styleId="Textocomentario">
    <w:name w:val="annotation text"/>
    <w:basedOn w:val="Normal"/>
    <w:link w:val="TextocomentarioCar"/>
    <w:uiPriority w:val="99"/>
    <w:semiHidden/>
    <w:unhideWhenUsed/>
    <w:rsid w:val="00711EF3"/>
    <w:rPr>
      <w:sz w:val="20"/>
      <w:szCs w:val="20"/>
    </w:rPr>
  </w:style>
  <w:style w:type="character" w:customStyle="1" w:styleId="TextocomentarioCar">
    <w:name w:val="Texto comentario Car"/>
    <w:basedOn w:val="Fuentedeprrafopredeter"/>
    <w:link w:val="Textocomentario"/>
    <w:uiPriority w:val="99"/>
    <w:semiHidden/>
    <w:rsid w:val="00711EF3"/>
    <w:rPr>
      <w:sz w:val="20"/>
      <w:szCs w:val="20"/>
    </w:rPr>
  </w:style>
  <w:style w:type="paragraph" w:styleId="Asuntodelcomentario">
    <w:name w:val="annotation subject"/>
    <w:basedOn w:val="Textocomentario"/>
    <w:next w:val="Textocomentario"/>
    <w:link w:val="AsuntodelcomentarioCar"/>
    <w:uiPriority w:val="99"/>
    <w:semiHidden/>
    <w:unhideWhenUsed/>
    <w:rsid w:val="00711EF3"/>
    <w:rPr>
      <w:b/>
      <w:bCs/>
    </w:rPr>
  </w:style>
  <w:style w:type="character" w:customStyle="1" w:styleId="AsuntodelcomentarioCar">
    <w:name w:val="Asunto del comentario Car"/>
    <w:basedOn w:val="TextocomentarioCar"/>
    <w:link w:val="Asuntodelcomentario"/>
    <w:uiPriority w:val="99"/>
    <w:semiHidden/>
    <w:rsid w:val="00711EF3"/>
    <w:rPr>
      <w:b/>
      <w:bCs/>
      <w:sz w:val="20"/>
      <w:szCs w:val="20"/>
    </w:rPr>
  </w:style>
  <w:style w:type="paragraph" w:styleId="Textodeglobo">
    <w:name w:val="Balloon Text"/>
    <w:basedOn w:val="Normal"/>
    <w:link w:val="TextodegloboCar"/>
    <w:uiPriority w:val="99"/>
    <w:semiHidden/>
    <w:unhideWhenUsed/>
    <w:rsid w:val="00711EF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1EF3"/>
    <w:rPr>
      <w:rFonts w:ascii="Segoe UI" w:hAnsi="Segoe UI" w:cs="Segoe UI"/>
      <w:sz w:val="18"/>
      <w:szCs w:val="18"/>
    </w:rPr>
  </w:style>
  <w:style w:type="character" w:customStyle="1" w:styleId="Ttulo2Car">
    <w:name w:val="Título 2 Car"/>
    <w:basedOn w:val="Fuentedeprrafopredeter"/>
    <w:link w:val="Ttulo2"/>
    <w:uiPriority w:val="9"/>
    <w:rsid w:val="00066969"/>
    <w:rPr>
      <w:rFonts w:asciiTheme="majorHAnsi" w:eastAsiaTheme="majorEastAsia" w:hAnsiTheme="majorHAnsi" w:cstheme="majorBidi"/>
      <w:b/>
      <w:bCs/>
      <w:sz w:val="26"/>
      <w:szCs w:val="26"/>
      <w:lang w:eastAsia="es-ES"/>
    </w:rPr>
  </w:style>
  <w:style w:type="paragraph" w:styleId="Textonotapie">
    <w:name w:val="footnote text"/>
    <w:basedOn w:val="Normal"/>
    <w:link w:val="TextonotapieCar"/>
    <w:uiPriority w:val="99"/>
    <w:semiHidden/>
    <w:unhideWhenUsed/>
    <w:rsid w:val="00066969"/>
    <w:rPr>
      <w:sz w:val="20"/>
      <w:szCs w:val="20"/>
    </w:rPr>
  </w:style>
  <w:style w:type="character" w:customStyle="1" w:styleId="TextonotapieCar">
    <w:name w:val="Texto nota pie Car"/>
    <w:basedOn w:val="Fuentedeprrafopredeter"/>
    <w:link w:val="Textonotapie"/>
    <w:uiPriority w:val="99"/>
    <w:semiHidden/>
    <w:rsid w:val="00066969"/>
    <w:rPr>
      <w:sz w:val="20"/>
      <w:szCs w:val="20"/>
    </w:rPr>
  </w:style>
  <w:style w:type="character" w:styleId="Refdenotaalpie">
    <w:name w:val="footnote reference"/>
    <w:basedOn w:val="Fuentedeprrafopredeter"/>
    <w:uiPriority w:val="99"/>
    <w:semiHidden/>
    <w:unhideWhenUsed/>
    <w:rsid w:val="000669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667250">
      <w:bodyDiv w:val="1"/>
      <w:marLeft w:val="0"/>
      <w:marRight w:val="0"/>
      <w:marTop w:val="0"/>
      <w:marBottom w:val="0"/>
      <w:divBdr>
        <w:top w:val="none" w:sz="0" w:space="0" w:color="auto"/>
        <w:left w:val="none" w:sz="0" w:space="0" w:color="auto"/>
        <w:bottom w:val="none" w:sz="0" w:space="0" w:color="auto"/>
        <w:right w:val="none" w:sz="0" w:space="0" w:color="auto"/>
      </w:divBdr>
    </w:div>
    <w:div w:id="679897503">
      <w:bodyDiv w:val="1"/>
      <w:marLeft w:val="0"/>
      <w:marRight w:val="0"/>
      <w:marTop w:val="0"/>
      <w:marBottom w:val="0"/>
      <w:divBdr>
        <w:top w:val="none" w:sz="0" w:space="0" w:color="auto"/>
        <w:left w:val="none" w:sz="0" w:space="0" w:color="auto"/>
        <w:bottom w:val="none" w:sz="0" w:space="0" w:color="auto"/>
        <w:right w:val="none" w:sz="0" w:space="0" w:color="auto"/>
      </w:divBdr>
      <w:divsChild>
        <w:div w:id="721515765">
          <w:marLeft w:val="0"/>
          <w:marRight w:val="0"/>
          <w:marTop w:val="0"/>
          <w:marBottom w:val="0"/>
          <w:divBdr>
            <w:top w:val="none" w:sz="0" w:space="0" w:color="auto"/>
            <w:left w:val="none" w:sz="0" w:space="0" w:color="auto"/>
            <w:bottom w:val="none" w:sz="0" w:space="0" w:color="auto"/>
            <w:right w:val="none" w:sz="0" w:space="0" w:color="auto"/>
          </w:divBdr>
        </w:div>
        <w:div w:id="2011714724">
          <w:marLeft w:val="0"/>
          <w:marRight w:val="0"/>
          <w:marTop w:val="0"/>
          <w:marBottom w:val="0"/>
          <w:divBdr>
            <w:top w:val="none" w:sz="0" w:space="0" w:color="auto"/>
            <w:left w:val="none" w:sz="0" w:space="0" w:color="auto"/>
            <w:bottom w:val="none" w:sz="0" w:space="0" w:color="auto"/>
            <w:right w:val="none" w:sz="0" w:space="0" w:color="auto"/>
          </w:divBdr>
        </w:div>
        <w:div w:id="1166825964">
          <w:marLeft w:val="0"/>
          <w:marRight w:val="0"/>
          <w:marTop w:val="0"/>
          <w:marBottom w:val="0"/>
          <w:divBdr>
            <w:top w:val="none" w:sz="0" w:space="0" w:color="auto"/>
            <w:left w:val="none" w:sz="0" w:space="0" w:color="auto"/>
            <w:bottom w:val="none" w:sz="0" w:space="0" w:color="auto"/>
            <w:right w:val="none" w:sz="0" w:space="0" w:color="auto"/>
          </w:divBdr>
        </w:div>
        <w:div w:id="1512523794">
          <w:marLeft w:val="0"/>
          <w:marRight w:val="0"/>
          <w:marTop w:val="0"/>
          <w:marBottom w:val="0"/>
          <w:divBdr>
            <w:top w:val="none" w:sz="0" w:space="0" w:color="auto"/>
            <w:left w:val="none" w:sz="0" w:space="0" w:color="auto"/>
            <w:bottom w:val="none" w:sz="0" w:space="0" w:color="auto"/>
            <w:right w:val="none" w:sz="0" w:space="0" w:color="auto"/>
          </w:divBdr>
        </w:div>
        <w:div w:id="14381669">
          <w:marLeft w:val="0"/>
          <w:marRight w:val="0"/>
          <w:marTop w:val="0"/>
          <w:marBottom w:val="0"/>
          <w:divBdr>
            <w:top w:val="none" w:sz="0" w:space="0" w:color="auto"/>
            <w:left w:val="none" w:sz="0" w:space="0" w:color="auto"/>
            <w:bottom w:val="none" w:sz="0" w:space="0" w:color="auto"/>
            <w:right w:val="none" w:sz="0" w:space="0" w:color="auto"/>
          </w:divBdr>
        </w:div>
        <w:div w:id="719591197">
          <w:marLeft w:val="0"/>
          <w:marRight w:val="0"/>
          <w:marTop w:val="0"/>
          <w:marBottom w:val="0"/>
          <w:divBdr>
            <w:top w:val="none" w:sz="0" w:space="0" w:color="auto"/>
            <w:left w:val="none" w:sz="0" w:space="0" w:color="auto"/>
            <w:bottom w:val="none" w:sz="0" w:space="0" w:color="auto"/>
            <w:right w:val="none" w:sz="0" w:space="0" w:color="auto"/>
          </w:divBdr>
        </w:div>
        <w:div w:id="1363827883">
          <w:marLeft w:val="0"/>
          <w:marRight w:val="0"/>
          <w:marTop w:val="0"/>
          <w:marBottom w:val="0"/>
          <w:divBdr>
            <w:top w:val="none" w:sz="0" w:space="0" w:color="auto"/>
            <w:left w:val="none" w:sz="0" w:space="0" w:color="auto"/>
            <w:bottom w:val="none" w:sz="0" w:space="0" w:color="auto"/>
            <w:right w:val="none" w:sz="0" w:space="0" w:color="auto"/>
          </w:divBdr>
        </w:div>
        <w:div w:id="1024986262">
          <w:marLeft w:val="0"/>
          <w:marRight w:val="0"/>
          <w:marTop w:val="0"/>
          <w:marBottom w:val="0"/>
          <w:divBdr>
            <w:top w:val="none" w:sz="0" w:space="0" w:color="auto"/>
            <w:left w:val="none" w:sz="0" w:space="0" w:color="auto"/>
            <w:bottom w:val="none" w:sz="0" w:space="0" w:color="auto"/>
            <w:right w:val="none" w:sz="0" w:space="0" w:color="auto"/>
          </w:divBdr>
        </w:div>
        <w:div w:id="1937595257">
          <w:marLeft w:val="0"/>
          <w:marRight w:val="0"/>
          <w:marTop w:val="0"/>
          <w:marBottom w:val="0"/>
          <w:divBdr>
            <w:top w:val="none" w:sz="0" w:space="0" w:color="auto"/>
            <w:left w:val="none" w:sz="0" w:space="0" w:color="auto"/>
            <w:bottom w:val="none" w:sz="0" w:space="0" w:color="auto"/>
            <w:right w:val="none" w:sz="0" w:space="0" w:color="auto"/>
          </w:divBdr>
        </w:div>
        <w:div w:id="1212232881">
          <w:marLeft w:val="0"/>
          <w:marRight w:val="0"/>
          <w:marTop w:val="0"/>
          <w:marBottom w:val="0"/>
          <w:divBdr>
            <w:top w:val="none" w:sz="0" w:space="0" w:color="auto"/>
            <w:left w:val="none" w:sz="0" w:space="0" w:color="auto"/>
            <w:bottom w:val="none" w:sz="0" w:space="0" w:color="auto"/>
            <w:right w:val="none" w:sz="0" w:space="0" w:color="auto"/>
          </w:divBdr>
        </w:div>
        <w:div w:id="220794919">
          <w:marLeft w:val="0"/>
          <w:marRight w:val="0"/>
          <w:marTop w:val="0"/>
          <w:marBottom w:val="0"/>
          <w:divBdr>
            <w:top w:val="none" w:sz="0" w:space="0" w:color="auto"/>
            <w:left w:val="none" w:sz="0" w:space="0" w:color="auto"/>
            <w:bottom w:val="none" w:sz="0" w:space="0" w:color="auto"/>
            <w:right w:val="none" w:sz="0" w:space="0" w:color="auto"/>
          </w:divBdr>
        </w:div>
      </w:divsChild>
    </w:div>
    <w:div w:id="749693606">
      <w:bodyDiv w:val="1"/>
      <w:marLeft w:val="0"/>
      <w:marRight w:val="0"/>
      <w:marTop w:val="0"/>
      <w:marBottom w:val="0"/>
      <w:divBdr>
        <w:top w:val="none" w:sz="0" w:space="0" w:color="auto"/>
        <w:left w:val="none" w:sz="0" w:space="0" w:color="auto"/>
        <w:bottom w:val="none" w:sz="0" w:space="0" w:color="auto"/>
        <w:right w:val="none" w:sz="0" w:space="0" w:color="auto"/>
      </w:divBdr>
    </w:div>
    <w:div w:id="126622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6D36-E349-4E87-AD9D-5AD924497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1040</Words>
  <Characters>5726</Characters>
  <Application>Microsoft Office Word</Application>
  <DocSecurity>0</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Karín Mijangos</dc:creator>
  <cp:keywords/>
  <dc:description/>
  <cp:lastModifiedBy>Sergio Miguel López Ramírez</cp:lastModifiedBy>
  <cp:revision>8</cp:revision>
  <dcterms:created xsi:type="dcterms:W3CDTF">2022-08-01T04:26:00Z</dcterms:created>
  <dcterms:modified xsi:type="dcterms:W3CDTF">2023-03-23T04:02:00Z</dcterms:modified>
</cp:coreProperties>
</file>